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9A" w:rsidRPr="00F46676" w:rsidRDefault="00AF50A7" w:rsidP="0036372C">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2EF0749C" wp14:editId="59B64C27">
            <wp:simplePos x="0" y="0"/>
            <wp:positionH relativeFrom="column">
              <wp:posOffset>8467725</wp:posOffset>
            </wp:positionH>
            <wp:positionV relativeFrom="paragraph">
              <wp:posOffset>-219075</wp:posOffset>
            </wp:positionV>
            <wp:extent cx="828675" cy="452755"/>
            <wp:effectExtent l="0" t="0" r="9525" b="4445"/>
            <wp:wrapTight wrapText="bothSides">
              <wp:wrapPolygon edited="0">
                <wp:start x="0" y="0"/>
                <wp:lineTo x="0" y="20903"/>
                <wp:lineTo x="21352" y="2090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ing_Logo_Colou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452755"/>
                    </a:xfrm>
                    <a:prstGeom prst="rect">
                      <a:avLst/>
                    </a:prstGeom>
                  </pic:spPr>
                </pic:pic>
              </a:graphicData>
            </a:graphic>
          </wp:anchor>
        </w:drawing>
      </w:r>
      <w:r w:rsidR="00576D9A" w:rsidRPr="00F46676">
        <w:rPr>
          <w:rFonts w:ascii="Arial" w:hAnsi="Arial" w:cs="Arial"/>
          <w:b/>
          <w:sz w:val="24"/>
          <w:szCs w:val="24"/>
        </w:rPr>
        <w:t>Teacher including</w:t>
      </w:r>
      <w:r w:rsidR="00A71528" w:rsidRPr="00F46676">
        <w:rPr>
          <w:rFonts w:ascii="Arial" w:hAnsi="Arial" w:cs="Arial"/>
          <w:b/>
          <w:sz w:val="24"/>
          <w:szCs w:val="24"/>
        </w:rPr>
        <w:t xml:space="preserve"> Headteacher Performance </w:t>
      </w:r>
      <w:r w:rsidR="00576D9A" w:rsidRPr="00F46676">
        <w:rPr>
          <w:rFonts w:ascii="Arial" w:hAnsi="Arial" w:cs="Arial"/>
          <w:b/>
          <w:sz w:val="24"/>
          <w:szCs w:val="24"/>
        </w:rPr>
        <w:t>Related Pay/Appraisal Check List</w:t>
      </w:r>
    </w:p>
    <w:p w:rsidR="00313A22" w:rsidRDefault="00721FA2" w:rsidP="00A71528">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t>
      </w:r>
      <w:hyperlink r:id="rId10" w:history="1">
        <w:r w:rsidRPr="00B07D91">
          <w:rPr>
            <w:rStyle w:val="Hyperlink"/>
            <w:rFonts w:ascii="Arial" w:eastAsia="Times New Roman" w:hAnsi="Arial" w:cs="Arial"/>
            <w:sz w:val="20"/>
            <w:szCs w:val="20"/>
            <w:lang w:eastAsia="en-GB"/>
          </w:rPr>
          <w:t>Governors’ Handbook</w:t>
        </w:r>
      </w:hyperlink>
      <w:r w:rsidR="00313A22" w:rsidRPr="00F46676">
        <w:rPr>
          <w:rFonts w:ascii="Arial" w:eastAsia="Times New Roman" w:hAnsi="Arial" w:cs="Arial"/>
          <w:color w:val="000000"/>
          <w:sz w:val="20"/>
          <w:szCs w:val="20"/>
          <w:lang w:eastAsia="en-GB"/>
        </w:rPr>
        <w:t xml:space="preserve"> </w:t>
      </w:r>
      <w:r w:rsidR="00B07D91">
        <w:rPr>
          <w:rFonts w:ascii="Arial" w:eastAsia="Times New Roman" w:hAnsi="Arial" w:cs="Arial"/>
          <w:color w:val="000000"/>
          <w:sz w:val="20"/>
          <w:szCs w:val="20"/>
          <w:lang w:eastAsia="en-GB"/>
        </w:rPr>
        <w:t>(</w:t>
      </w:r>
      <w:r w:rsidR="000F4D79">
        <w:rPr>
          <w:rFonts w:ascii="Arial" w:eastAsia="Times New Roman" w:hAnsi="Arial" w:cs="Arial"/>
          <w:color w:val="000000"/>
          <w:sz w:val="20"/>
          <w:szCs w:val="20"/>
          <w:lang w:eastAsia="en-GB"/>
        </w:rPr>
        <w:t xml:space="preserve">January </w:t>
      </w:r>
      <w:r w:rsidR="00B07D91">
        <w:rPr>
          <w:rFonts w:ascii="Arial" w:eastAsia="Times New Roman" w:hAnsi="Arial" w:cs="Arial"/>
          <w:color w:val="000000"/>
          <w:sz w:val="20"/>
          <w:szCs w:val="20"/>
          <w:lang w:eastAsia="en-GB"/>
        </w:rPr>
        <w:t>201</w:t>
      </w:r>
      <w:r w:rsidR="005F01AC">
        <w:rPr>
          <w:rFonts w:ascii="Arial" w:eastAsia="Times New Roman" w:hAnsi="Arial" w:cs="Arial"/>
          <w:color w:val="000000"/>
          <w:sz w:val="20"/>
          <w:szCs w:val="20"/>
          <w:lang w:eastAsia="en-GB"/>
        </w:rPr>
        <w:t>5</w:t>
      </w:r>
      <w:r w:rsidR="00B07D91">
        <w:rPr>
          <w:rFonts w:ascii="Arial" w:eastAsia="Times New Roman" w:hAnsi="Arial" w:cs="Arial"/>
          <w:color w:val="000000"/>
          <w:sz w:val="20"/>
          <w:szCs w:val="20"/>
          <w:lang w:eastAsia="en-GB"/>
        </w:rPr>
        <w:t xml:space="preserve">) </w:t>
      </w:r>
      <w:r w:rsidR="00F46676" w:rsidRPr="00F46676">
        <w:rPr>
          <w:rFonts w:ascii="Arial" w:eastAsia="Times New Roman" w:hAnsi="Arial" w:cs="Arial"/>
          <w:color w:val="000000"/>
          <w:sz w:val="20"/>
          <w:szCs w:val="20"/>
          <w:lang w:eastAsia="en-GB"/>
        </w:rPr>
        <w:t>outlines</w:t>
      </w:r>
      <w:r w:rsidR="00F46676">
        <w:rPr>
          <w:rFonts w:ascii="Arial" w:eastAsia="Times New Roman" w:hAnsi="Arial" w:cs="Arial"/>
          <w:color w:val="000000"/>
          <w:sz w:val="20"/>
          <w:szCs w:val="20"/>
          <w:lang w:eastAsia="en-GB"/>
        </w:rPr>
        <w:t xml:space="preserve"> </w:t>
      </w:r>
      <w:r w:rsidR="00313A22" w:rsidRPr="00F46676">
        <w:rPr>
          <w:rFonts w:ascii="Arial" w:eastAsia="Times New Roman" w:hAnsi="Arial" w:cs="Arial"/>
          <w:color w:val="000000"/>
          <w:sz w:val="20"/>
          <w:szCs w:val="20"/>
          <w:lang w:eastAsia="en-GB"/>
        </w:rPr>
        <w:t xml:space="preserve">that the relevant body (usually the governing body) of a school must adopt and take full responsibility for maintaining, updating and implementing a robust and considered pay policy </w:t>
      </w:r>
    </w:p>
    <w:tbl>
      <w:tblPr>
        <w:tblStyle w:val="TableGrid"/>
        <w:tblW w:w="14850" w:type="dxa"/>
        <w:tblLook w:val="04A0" w:firstRow="1" w:lastRow="0" w:firstColumn="1" w:lastColumn="0" w:noHBand="0" w:noVBand="1"/>
      </w:tblPr>
      <w:tblGrid>
        <w:gridCol w:w="5070"/>
        <w:gridCol w:w="2693"/>
        <w:gridCol w:w="7087"/>
      </w:tblGrid>
      <w:tr w:rsidR="00576D9A" w:rsidRPr="00F46676" w:rsidTr="000B60D2">
        <w:trPr>
          <w:trHeight w:val="482"/>
        </w:trPr>
        <w:tc>
          <w:tcPr>
            <w:tcW w:w="5070" w:type="dxa"/>
            <w:shd w:val="pct10" w:color="auto" w:fill="FFFFFF" w:themeFill="background1"/>
            <w:vAlign w:val="center"/>
          </w:tcPr>
          <w:p w:rsidR="00576D9A" w:rsidRPr="00B80FC0" w:rsidRDefault="00F46676" w:rsidP="00FB135D">
            <w:pPr>
              <w:jc w:val="center"/>
              <w:rPr>
                <w:rFonts w:ascii="Arial" w:hAnsi="Arial" w:cs="Arial"/>
                <w:b/>
              </w:rPr>
            </w:pPr>
            <w:r w:rsidRPr="00B80FC0">
              <w:rPr>
                <w:rFonts w:ascii="Arial" w:hAnsi="Arial" w:cs="Arial"/>
                <w:b/>
              </w:rPr>
              <w:t>Full GB</w:t>
            </w:r>
          </w:p>
        </w:tc>
        <w:tc>
          <w:tcPr>
            <w:tcW w:w="2693" w:type="dxa"/>
            <w:shd w:val="pct10" w:color="auto" w:fill="FFFFFF" w:themeFill="background1"/>
            <w:vAlign w:val="center"/>
          </w:tcPr>
          <w:p w:rsidR="00576D9A" w:rsidRPr="00B80FC0" w:rsidRDefault="00576D9A" w:rsidP="00FB135D">
            <w:pPr>
              <w:jc w:val="center"/>
              <w:rPr>
                <w:rFonts w:ascii="Arial" w:hAnsi="Arial" w:cs="Arial"/>
                <w:b/>
              </w:rPr>
            </w:pPr>
            <w:r w:rsidRPr="00B80FC0">
              <w:rPr>
                <w:rFonts w:ascii="Arial" w:hAnsi="Arial" w:cs="Arial"/>
                <w:b/>
              </w:rPr>
              <w:t>In place/in progress/not in place</w:t>
            </w:r>
          </w:p>
        </w:tc>
        <w:tc>
          <w:tcPr>
            <w:tcW w:w="7087" w:type="dxa"/>
            <w:shd w:val="pct10" w:color="auto" w:fill="FFFFFF" w:themeFill="background1"/>
            <w:vAlign w:val="center"/>
          </w:tcPr>
          <w:p w:rsidR="00576D9A" w:rsidRPr="00B80FC0" w:rsidRDefault="00FB135D" w:rsidP="00FB135D">
            <w:pPr>
              <w:jc w:val="center"/>
              <w:rPr>
                <w:rFonts w:ascii="Arial" w:hAnsi="Arial" w:cs="Arial"/>
                <w:b/>
              </w:rPr>
            </w:pPr>
            <w:r>
              <w:rPr>
                <w:rFonts w:ascii="Arial" w:hAnsi="Arial" w:cs="Arial"/>
                <w:b/>
              </w:rPr>
              <w:t>C</w:t>
            </w:r>
            <w:r w:rsidR="00576D9A" w:rsidRPr="00B80FC0">
              <w:rPr>
                <w:rFonts w:ascii="Arial" w:hAnsi="Arial" w:cs="Arial"/>
                <w:b/>
              </w:rPr>
              <w:t>omments</w:t>
            </w:r>
            <w:r w:rsidR="00313A22" w:rsidRPr="00B80FC0">
              <w:rPr>
                <w:rFonts w:ascii="Arial" w:hAnsi="Arial" w:cs="Arial"/>
                <w:b/>
              </w:rPr>
              <w:t>/ Improvements/next steps</w:t>
            </w:r>
          </w:p>
        </w:tc>
      </w:tr>
      <w:tr w:rsidR="00576D9A" w:rsidRPr="00F46676" w:rsidTr="000B60D2">
        <w:trPr>
          <w:trHeight w:val="714"/>
        </w:trPr>
        <w:tc>
          <w:tcPr>
            <w:tcW w:w="5070" w:type="dxa"/>
            <w:vAlign w:val="center"/>
          </w:tcPr>
          <w:p w:rsidR="00576D9A" w:rsidRPr="000F4D79" w:rsidRDefault="005F01AC" w:rsidP="000F4D79">
            <w:pPr>
              <w:rPr>
                <w:rFonts w:ascii="Arial" w:hAnsi="Arial" w:cs="Arial"/>
                <w:sz w:val="20"/>
                <w:szCs w:val="20"/>
              </w:rPr>
            </w:pPr>
            <w:r w:rsidRPr="000F4D79">
              <w:rPr>
                <w:rFonts w:ascii="Arial" w:hAnsi="Arial" w:cs="Arial"/>
                <w:sz w:val="20"/>
                <w:szCs w:val="20"/>
              </w:rPr>
              <w:t>Revi</w:t>
            </w:r>
            <w:r w:rsidR="000F4D79">
              <w:rPr>
                <w:rFonts w:ascii="Arial" w:hAnsi="Arial" w:cs="Arial"/>
                <w:sz w:val="20"/>
                <w:szCs w:val="20"/>
              </w:rPr>
              <w:t xml:space="preserve">ew </w:t>
            </w:r>
            <w:r w:rsidR="00FB135D" w:rsidRPr="000F4D79">
              <w:rPr>
                <w:rFonts w:ascii="Arial" w:hAnsi="Arial" w:cs="Arial"/>
                <w:b/>
                <w:sz w:val="20"/>
                <w:szCs w:val="20"/>
              </w:rPr>
              <w:t>p</w:t>
            </w:r>
            <w:r w:rsidR="00576D9A" w:rsidRPr="000F4D79">
              <w:rPr>
                <w:rFonts w:ascii="Arial" w:hAnsi="Arial" w:cs="Arial"/>
                <w:b/>
                <w:sz w:val="20"/>
                <w:szCs w:val="20"/>
              </w:rPr>
              <w:t>ay policy</w:t>
            </w:r>
            <w:r w:rsidR="00576D9A" w:rsidRPr="000F4D79">
              <w:rPr>
                <w:rFonts w:ascii="Arial" w:hAnsi="Arial" w:cs="Arial"/>
                <w:sz w:val="20"/>
                <w:szCs w:val="20"/>
              </w:rPr>
              <w:t xml:space="preserve"> </w:t>
            </w:r>
            <w:r w:rsidR="000F4D79" w:rsidRPr="000F4D79">
              <w:rPr>
                <w:rFonts w:ascii="Arial" w:hAnsi="Arial" w:cs="Arial"/>
                <w:sz w:val="20"/>
                <w:szCs w:val="20"/>
              </w:rPr>
              <w:t xml:space="preserve">annually </w:t>
            </w:r>
            <w:r w:rsidR="00313A22" w:rsidRPr="000F4D79">
              <w:rPr>
                <w:rFonts w:ascii="Arial" w:hAnsi="Arial" w:cs="Arial"/>
                <w:sz w:val="20"/>
                <w:szCs w:val="20"/>
              </w:rPr>
              <w:t>for teachers including headteacher</w:t>
            </w:r>
            <w:r w:rsidR="000F4D79" w:rsidRPr="000F4D79">
              <w:rPr>
                <w:rFonts w:ascii="Arial" w:hAnsi="Arial" w:cs="Arial"/>
                <w:sz w:val="20"/>
                <w:szCs w:val="20"/>
              </w:rPr>
              <w:t>s</w:t>
            </w:r>
            <w:r w:rsidR="00721FA2" w:rsidRPr="000F4D79">
              <w:rPr>
                <w:rFonts w:ascii="Arial" w:hAnsi="Arial" w:cs="Arial"/>
                <w:sz w:val="20"/>
                <w:szCs w:val="20"/>
              </w:rPr>
              <w:t>. Make sure any relevant changes to leadership pay reflected in policy</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576D9A" w:rsidRPr="00F46676" w:rsidRDefault="00313A22" w:rsidP="00FB135D">
            <w:pPr>
              <w:rPr>
                <w:rFonts w:ascii="Arial" w:hAnsi="Arial" w:cs="Arial"/>
                <w:sz w:val="20"/>
                <w:szCs w:val="20"/>
              </w:rPr>
            </w:pPr>
            <w:r w:rsidRPr="00F46676">
              <w:rPr>
                <w:rFonts w:ascii="Arial" w:hAnsi="Arial" w:cs="Arial"/>
                <w:sz w:val="20"/>
                <w:szCs w:val="20"/>
              </w:rPr>
              <w:t xml:space="preserve">Recommend that include support staff as part of pay policy or have a separate </w:t>
            </w:r>
            <w:r w:rsidR="00721FA2">
              <w:rPr>
                <w:rFonts w:ascii="Arial" w:hAnsi="Arial" w:cs="Arial"/>
                <w:sz w:val="20"/>
                <w:szCs w:val="20"/>
              </w:rPr>
              <w:t xml:space="preserve">policy. Guidance on </w:t>
            </w:r>
            <w:r w:rsidR="000F4D79">
              <w:rPr>
                <w:rFonts w:ascii="Arial" w:hAnsi="Arial" w:cs="Arial"/>
                <w:sz w:val="20"/>
                <w:szCs w:val="20"/>
              </w:rPr>
              <w:t xml:space="preserve">support staff on </w:t>
            </w:r>
            <w:hyperlink r:id="rId11" w:history="1">
              <w:r w:rsidR="00721FA2" w:rsidRPr="00721FA2">
                <w:rPr>
                  <w:rStyle w:val="Hyperlink"/>
                  <w:rFonts w:ascii="Arial" w:hAnsi="Arial" w:cs="Arial"/>
                  <w:sz w:val="20"/>
                  <w:szCs w:val="20"/>
                </w:rPr>
                <w:t>EGfL</w:t>
              </w:r>
            </w:hyperlink>
          </w:p>
        </w:tc>
      </w:tr>
      <w:tr w:rsidR="00576D9A" w:rsidRPr="00F46676" w:rsidTr="0036372C">
        <w:trPr>
          <w:trHeight w:val="480"/>
        </w:trPr>
        <w:tc>
          <w:tcPr>
            <w:tcW w:w="5070" w:type="dxa"/>
            <w:vAlign w:val="center"/>
          </w:tcPr>
          <w:p w:rsidR="00576D9A" w:rsidRPr="000F4D79" w:rsidRDefault="000F4D79" w:rsidP="000F4D79">
            <w:pPr>
              <w:rPr>
                <w:rFonts w:ascii="Arial" w:hAnsi="Arial" w:cs="Arial"/>
                <w:sz w:val="20"/>
                <w:szCs w:val="20"/>
              </w:rPr>
            </w:pPr>
            <w:r>
              <w:rPr>
                <w:rFonts w:ascii="Arial" w:hAnsi="Arial" w:cs="Arial"/>
                <w:sz w:val="20"/>
                <w:szCs w:val="20"/>
              </w:rPr>
              <w:t xml:space="preserve">Review </w:t>
            </w:r>
            <w:r w:rsidRPr="000F4D79">
              <w:rPr>
                <w:rFonts w:ascii="Arial" w:hAnsi="Arial" w:cs="Arial"/>
                <w:b/>
                <w:sz w:val="20"/>
                <w:szCs w:val="20"/>
              </w:rPr>
              <w:t>a</w:t>
            </w:r>
            <w:r w:rsidR="00576D9A" w:rsidRPr="000F4D79">
              <w:rPr>
                <w:rFonts w:ascii="Arial" w:hAnsi="Arial" w:cs="Arial"/>
                <w:b/>
                <w:sz w:val="20"/>
                <w:szCs w:val="20"/>
              </w:rPr>
              <w:t>ppraisal policy</w:t>
            </w:r>
            <w:r w:rsidR="00576D9A" w:rsidRPr="000F4D79">
              <w:rPr>
                <w:rFonts w:ascii="Arial" w:hAnsi="Arial" w:cs="Arial"/>
                <w:sz w:val="20"/>
                <w:szCs w:val="20"/>
              </w:rPr>
              <w:t xml:space="preserve"> </w:t>
            </w:r>
            <w:r>
              <w:rPr>
                <w:rFonts w:ascii="Arial" w:hAnsi="Arial" w:cs="Arial"/>
                <w:sz w:val="20"/>
                <w:szCs w:val="20"/>
              </w:rPr>
              <w:t xml:space="preserve">annually </w:t>
            </w:r>
            <w:r w:rsidR="005F01AC" w:rsidRPr="000F4D79">
              <w:rPr>
                <w:rFonts w:ascii="Arial" w:hAnsi="Arial" w:cs="Arial"/>
                <w:sz w:val="20"/>
                <w:szCs w:val="20"/>
              </w:rPr>
              <w:t xml:space="preserve">for teachers incl. headteachers </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576D9A" w:rsidRDefault="00576D9A" w:rsidP="00FB135D">
            <w:pPr>
              <w:rPr>
                <w:rFonts w:ascii="Arial" w:hAnsi="Arial" w:cs="Arial"/>
                <w:sz w:val="20"/>
                <w:szCs w:val="20"/>
              </w:rPr>
            </w:pPr>
          </w:p>
          <w:p w:rsidR="00B80FC0" w:rsidRPr="00F46676" w:rsidRDefault="00C96C76" w:rsidP="00FB135D">
            <w:pPr>
              <w:rPr>
                <w:rFonts w:ascii="Arial" w:hAnsi="Arial" w:cs="Arial"/>
                <w:sz w:val="20"/>
                <w:szCs w:val="20"/>
              </w:rPr>
            </w:pPr>
            <w:r w:rsidRPr="00F46676">
              <w:rPr>
                <w:rFonts w:ascii="Arial" w:hAnsi="Arial" w:cs="Arial"/>
                <w:sz w:val="20"/>
                <w:szCs w:val="20"/>
              </w:rPr>
              <w:t xml:space="preserve">Teachers </w:t>
            </w:r>
            <w:r>
              <w:rPr>
                <w:rFonts w:ascii="Arial" w:hAnsi="Arial" w:cs="Arial"/>
                <w:sz w:val="20"/>
                <w:szCs w:val="20"/>
              </w:rPr>
              <w:t xml:space="preserve">must </w:t>
            </w:r>
            <w:r w:rsidRPr="00F46676">
              <w:rPr>
                <w:rFonts w:ascii="Arial" w:hAnsi="Arial" w:cs="Arial"/>
                <w:sz w:val="20"/>
                <w:szCs w:val="20"/>
              </w:rPr>
              <w:t>have written report</w:t>
            </w:r>
            <w:r>
              <w:rPr>
                <w:rFonts w:ascii="Arial" w:hAnsi="Arial" w:cs="Arial"/>
                <w:sz w:val="20"/>
                <w:szCs w:val="20"/>
              </w:rPr>
              <w:t>/statement</w:t>
            </w:r>
            <w:r w:rsidRPr="00F46676">
              <w:rPr>
                <w:rFonts w:ascii="Arial" w:hAnsi="Arial" w:cs="Arial"/>
                <w:sz w:val="20"/>
                <w:szCs w:val="20"/>
              </w:rPr>
              <w:t xml:space="preserve"> of objectives etc</w:t>
            </w:r>
            <w:r w:rsidR="00721FA2">
              <w:rPr>
                <w:rFonts w:ascii="Arial" w:hAnsi="Arial" w:cs="Arial"/>
                <w:sz w:val="20"/>
                <w:szCs w:val="20"/>
              </w:rPr>
              <w:t xml:space="preserve">. </w:t>
            </w:r>
          </w:p>
        </w:tc>
      </w:tr>
      <w:tr w:rsidR="00576D9A" w:rsidRPr="00F46676" w:rsidTr="0036372C">
        <w:trPr>
          <w:trHeight w:val="628"/>
        </w:trPr>
        <w:tc>
          <w:tcPr>
            <w:tcW w:w="5070" w:type="dxa"/>
            <w:vAlign w:val="center"/>
          </w:tcPr>
          <w:p w:rsidR="00576D9A" w:rsidRPr="000F4D79" w:rsidRDefault="00576D9A" w:rsidP="00FB135D">
            <w:pPr>
              <w:rPr>
                <w:rFonts w:ascii="Arial" w:hAnsi="Arial" w:cs="Arial"/>
                <w:sz w:val="20"/>
                <w:szCs w:val="20"/>
              </w:rPr>
            </w:pPr>
            <w:r w:rsidRPr="000F4D79">
              <w:rPr>
                <w:rFonts w:ascii="Arial" w:hAnsi="Arial" w:cs="Arial"/>
                <w:sz w:val="20"/>
                <w:szCs w:val="20"/>
              </w:rPr>
              <w:t xml:space="preserve">The </w:t>
            </w:r>
            <w:r w:rsidRPr="000F4D79">
              <w:rPr>
                <w:rFonts w:ascii="Arial" w:hAnsi="Arial" w:cs="Arial"/>
                <w:b/>
                <w:sz w:val="20"/>
                <w:szCs w:val="20"/>
              </w:rPr>
              <w:t>criteria for pay progression</w:t>
            </w:r>
            <w:r w:rsidRPr="000F4D79">
              <w:rPr>
                <w:rFonts w:ascii="Arial" w:hAnsi="Arial" w:cs="Arial"/>
                <w:sz w:val="20"/>
                <w:szCs w:val="20"/>
              </w:rPr>
              <w:t xml:space="preserve"> including teacher standards agreed and understood</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576D9A" w:rsidRPr="00C96C76" w:rsidRDefault="00C96C76" w:rsidP="00FB135D">
            <w:pPr>
              <w:rPr>
                <w:rFonts w:ascii="Arial" w:hAnsi="Arial" w:cs="Arial"/>
                <w:sz w:val="20"/>
                <w:szCs w:val="20"/>
              </w:rPr>
            </w:pPr>
            <w:r w:rsidRPr="00C96C76">
              <w:rPr>
                <w:rFonts w:ascii="Arial" w:hAnsi="Arial" w:cs="Arial"/>
                <w:sz w:val="20"/>
                <w:szCs w:val="20"/>
              </w:rPr>
              <w:t>Policy/process makes clear the moderation of objectives and pay recommendations and moderation process throughput the year</w:t>
            </w:r>
          </w:p>
        </w:tc>
      </w:tr>
      <w:tr w:rsidR="00576D9A" w:rsidRPr="00F46676" w:rsidTr="000B60D2">
        <w:trPr>
          <w:trHeight w:val="833"/>
        </w:trPr>
        <w:tc>
          <w:tcPr>
            <w:tcW w:w="5070" w:type="dxa"/>
            <w:vAlign w:val="center"/>
          </w:tcPr>
          <w:p w:rsidR="00576D9A" w:rsidRPr="000F4D79" w:rsidRDefault="00576D9A" w:rsidP="00FB135D">
            <w:pPr>
              <w:rPr>
                <w:rFonts w:ascii="Arial" w:hAnsi="Arial" w:cs="Arial"/>
                <w:sz w:val="20"/>
                <w:szCs w:val="20"/>
              </w:rPr>
            </w:pPr>
            <w:r w:rsidRPr="000F4D79">
              <w:rPr>
                <w:rFonts w:ascii="Arial" w:hAnsi="Arial" w:cs="Arial"/>
                <w:sz w:val="20"/>
                <w:szCs w:val="20"/>
              </w:rPr>
              <w:t xml:space="preserve">GB delegated/confirmed who will make </w:t>
            </w:r>
            <w:r w:rsidRPr="000F4D79">
              <w:rPr>
                <w:rFonts w:ascii="Arial" w:hAnsi="Arial" w:cs="Arial"/>
                <w:b/>
                <w:sz w:val="20"/>
                <w:szCs w:val="20"/>
              </w:rPr>
              <w:t>decisions re teacher pay</w:t>
            </w:r>
            <w:r w:rsidRPr="000F4D79">
              <w:rPr>
                <w:rFonts w:ascii="Arial" w:hAnsi="Arial" w:cs="Arial"/>
                <w:sz w:val="20"/>
                <w:szCs w:val="20"/>
              </w:rPr>
              <w:t xml:space="preserve"> e.g. pay committee </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576D9A" w:rsidRPr="00F46676" w:rsidRDefault="00576D9A" w:rsidP="00B07D91">
            <w:pPr>
              <w:rPr>
                <w:rFonts w:ascii="Arial" w:hAnsi="Arial" w:cs="Arial"/>
                <w:sz w:val="20"/>
                <w:szCs w:val="20"/>
              </w:rPr>
            </w:pPr>
            <w:r w:rsidRPr="00F46676">
              <w:rPr>
                <w:rFonts w:ascii="Arial" w:hAnsi="Arial" w:cs="Arial"/>
                <w:sz w:val="20"/>
                <w:szCs w:val="20"/>
              </w:rPr>
              <w:t>Recommend no less than three governors plus the headt</w:t>
            </w:r>
            <w:r w:rsidR="00B07D91">
              <w:rPr>
                <w:rFonts w:ascii="Arial" w:hAnsi="Arial" w:cs="Arial"/>
                <w:sz w:val="20"/>
                <w:szCs w:val="20"/>
              </w:rPr>
              <w:t>eacher for pay committee. They can invite SBM/finance</w:t>
            </w:r>
            <w:r w:rsidRPr="00F46676">
              <w:rPr>
                <w:rFonts w:ascii="Arial" w:hAnsi="Arial" w:cs="Arial"/>
                <w:sz w:val="20"/>
                <w:szCs w:val="20"/>
              </w:rPr>
              <w:t xml:space="preserve"> </w:t>
            </w:r>
            <w:r w:rsidR="00B07D91">
              <w:rPr>
                <w:rFonts w:ascii="Arial" w:hAnsi="Arial" w:cs="Arial"/>
                <w:sz w:val="20"/>
                <w:szCs w:val="20"/>
              </w:rPr>
              <w:t xml:space="preserve">officers </w:t>
            </w:r>
            <w:r w:rsidRPr="00F46676">
              <w:rPr>
                <w:rFonts w:ascii="Arial" w:hAnsi="Arial" w:cs="Arial"/>
                <w:sz w:val="20"/>
                <w:szCs w:val="20"/>
              </w:rPr>
              <w:t>to support with any questions</w:t>
            </w:r>
          </w:p>
        </w:tc>
      </w:tr>
      <w:tr w:rsidR="003743C4" w:rsidRPr="00F46676" w:rsidTr="0036372C">
        <w:trPr>
          <w:trHeight w:val="652"/>
        </w:trPr>
        <w:tc>
          <w:tcPr>
            <w:tcW w:w="5070" w:type="dxa"/>
            <w:vAlign w:val="center"/>
          </w:tcPr>
          <w:p w:rsidR="003743C4" w:rsidRPr="000F4D79" w:rsidRDefault="005F01AC" w:rsidP="005F01AC">
            <w:pPr>
              <w:rPr>
                <w:rFonts w:ascii="Arial" w:hAnsi="Arial" w:cs="Arial"/>
                <w:sz w:val="20"/>
                <w:szCs w:val="20"/>
              </w:rPr>
            </w:pPr>
            <w:r w:rsidRPr="000F4D79">
              <w:rPr>
                <w:rFonts w:ascii="Arial" w:hAnsi="Arial" w:cs="Arial"/>
                <w:sz w:val="20"/>
                <w:szCs w:val="20"/>
              </w:rPr>
              <w:t xml:space="preserve">Teacher and headteacher </w:t>
            </w:r>
            <w:r w:rsidRPr="000F4D79">
              <w:rPr>
                <w:rFonts w:ascii="Arial" w:hAnsi="Arial" w:cs="Arial"/>
                <w:b/>
                <w:sz w:val="20"/>
                <w:szCs w:val="20"/>
              </w:rPr>
              <w:t>a</w:t>
            </w:r>
            <w:r w:rsidR="003743C4" w:rsidRPr="000F4D79">
              <w:rPr>
                <w:rFonts w:ascii="Arial" w:hAnsi="Arial" w:cs="Arial"/>
                <w:b/>
                <w:sz w:val="20"/>
                <w:szCs w:val="20"/>
              </w:rPr>
              <w:t>ppraisers</w:t>
            </w:r>
            <w:r w:rsidR="003743C4" w:rsidRPr="000F4D79">
              <w:rPr>
                <w:rFonts w:ascii="Arial" w:hAnsi="Arial" w:cs="Arial"/>
                <w:sz w:val="20"/>
                <w:szCs w:val="20"/>
              </w:rPr>
              <w:t xml:space="preserve"> suitably trained </w:t>
            </w:r>
            <w:r w:rsidR="00F46676" w:rsidRPr="000F4D79">
              <w:rPr>
                <w:rFonts w:ascii="Arial" w:hAnsi="Arial" w:cs="Arial"/>
                <w:sz w:val="20"/>
                <w:szCs w:val="20"/>
              </w:rPr>
              <w:t>and CPD needs identified and addressed/budgeted for</w:t>
            </w:r>
          </w:p>
        </w:tc>
        <w:tc>
          <w:tcPr>
            <w:tcW w:w="2693" w:type="dxa"/>
          </w:tcPr>
          <w:p w:rsidR="003743C4" w:rsidRPr="00F46676" w:rsidRDefault="003743C4" w:rsidP="00576D9A">
            <w:pPr>
              <w:rPr>
                <w:rFonts w:ascii="Arial" w:hAnsi="Arial" w:cs="Arial"/>
                <w:sz w:val="20"/>
                <w:szCs w:val="20"/>
              </w:rPr>
            </w:pPr>
          </w:p>
        </w:tc>
        <w:tc>
          <w:tcPr>
            <w:tcW w:w="7087" w:type="dxa"/>
            <w:vAlign w:val="center"/>
          </w:tcPr>
          <w:p w:rsidR="003743C4" w:rsidRPr="00F46676" w:rsidRDefault="00A71528" w:rsidP="005F01AC">
            <w:pPr>
              <w:rPr>
                <w:rFonts w:ascii="Arial" w:hAnsi="Arial" w:cs="Arial"/>
                <w:sz w:val="20"/>
                <w:szCs w:val="20"/>
              </w:rPr>
            </w:pPr>
            <w:r w:rsidRPr="00F46676">
              <w:rPr>
                <w:rFonts w:ascii="Arial" w:hAnsi="Arial" w:cs="Arial"/>
                <w:sz w:val="20"/>
                <w:szCs w:val="20"/>
              </w:rPr>
              <w:t xml:space="preserve">Are all appraisers </w:t>
            </w:r>
            <w:r w:rsidR="005F01AC">
              <w:rPr>
                <w:rFonts w:ascii="Arial" w:hAnsi="Arial" w:cs="Arial"/>
                <w:sz w:val="20"/>
                <w:szCs w:val="20"/>
              </w:rPr>
              <w:t>skilled and know the school policy/process including evidence required/process for making pay decisions</w:t>
            </w:r>
            <w:r w:rsidRPr="00F46676">
              <w:rPr>
                <w:rFonts w:ascii="Arial" w:hAnsi="Arial" w:cs="Arial"/>
                <w:sz w:val="20"/>
                <w:szCs w:val="20"/>
              </w:rPr>
              <w:t>?</w:t>
            </w:r>
          </w:p>
        </w:tc>
      </w:tr>
      <w:tr w:rsidR="00576D9A" w:rsidRPr="00F46676" w:rsidTr="000B60D2">
        <w:trPr>
          <w:trHeight w:val="628"/>
        </w:trPr>
        <w:tc>
          <w:tcPr>
            <w:tcW w:w="5070" w:type="dxa"/>
            <w:vAlign w:val="center"/>
          </w:tcPr>
          <w:p w:rsidR="00576D9A" w:rsidRPr="000F4D79" w:rsidRDefault="00313A22" w:rsidP="00FB135D">
            <w:pPr>
              <w:rPr>
                <w:rFonts w:ascii="Arial" w:hAnsi="Arial" w:cs="Arial"/>
                <w:sz w:val="20"/>
                <w:szCs w:val="20"/>
              </w:rPr>
            </w:pPr>
            <w:r w:rsidRPr="000F4D79">
              <w:rPr>
                <w:rFonts w:ascii="Arial" w:hAnsi="Arial" w:cs="Arial"/>
                <w:sz w:val="20"/>
                <w:szCs w:val="20"/>
              </w:rPr>
              <w:t xml:space="preserve">All teacher </w:t>
            </w:r>
            <w:r w:rsidRPr="000F4D79">
              <w:rPr>
                <w:rFonts w:ascii="Arial" w:hAnsi="Arial" w:cs="Arial"/>
                <w:b/>
                <w:sz w:val="20"/>
                <w:szCs w:val="20"/>
              </w:rPr>
              <w:t>pay decisions</w:t>
            </w:r>
            <w:r w:rsidRPr="000F4D79">
              <w:rPr>
                <w:rFonts w:ascii="Arial" w:hAnsi="Arial" w:cs="Arial"/>
                <w:sz w:val="20"/>
                <w:szCs w:val="20"/>
              </w:rPr>
              <w:t xml:space="preserve"> finalised 31</w:t>
            </w:r>
            <w:r w:rsidRPr="000F4D79">
              <w:rPr>
                <w:rFonts w:ascii="Arial" w:hAnsi="Arial" w:cs="Arial"/>
                <w:sz w:val="20"/>
                <w:szCs w:val="20"/>
                <w:vertAlign w:val="superscript"/>
              </w:rPr>
              <w:t>st</w:t>
            </w:r>
            <w:r w:rsidRPr="000F4D79">
              <w:rPr>
                <w:rFonts w:ascii="Arial" w:hAnsi="Arial" w:cs="Arial"/>
                <w:sz w:val="20"/>
                <w:szCs w:val="20"/>
              </w:rPr>
              <w:t xml:space="preserve"> October </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E027D5" w:rsidRPr="00C96C76" w:rsidRDefault="00E027D5" w:rsidP="00FB135D">
            <w:pPr>
              <w:rPr>
                <w:rFonts w:ascii="Arial" w:hAnsi="Arial" w:cs="Arial"/>
                <w:sz w:val="20"/>
                <w:szCs w:val="20"/>
              </w:rPr>
            </w:pPr>
            <w:r w:rsidRPr="00C96C76">
              <w:rPr>
                <w:rFonts w:ascii="Arial" w:hAnsi="Arial" w:cs="Arial"/>
                <w:bCs/>
                <w:color w:val="000000"/>
                <w:sz w:val="20"/>
                <w:szCs w:val="20"/>
              </w:rPr>
              <w:t xml:space="preserve">The appraisal period </w:t>
            </w:r>
            <w:r w:rsidR="00C96C76">
              <w:rPr>
                <w:rFonts w:ascii="Arial" w:hAnsi="Arial" w:cs="Arial"/>
                <w:bCs/>
                <w:color w:val="000000"/>
                <w:sz w:val="20"/>
                <w:szCs w:val="20"/>
              </w:rPr>
              <w:t>r</w:t>
            </w:r>
            <w:r w:rsidRPr="00C96C76">
              <w:rPr>
                <w:rFonts w:ascii="Arial" w:hAnsi="Arial" w:cs="Arial"/>
                <w:bCs/>
                <w:color w:val="000000"/>
                <w:sz w:val="20"/>
                <w:szCs w:val="20"/>
              </w:rPr>
              <w:t>u</w:t>
            </w:r>
            <w:r w:rsidR="00C96C76">
              <w:rPr>
                <w:rFonts w:ascii="Arial" w:hAnsi="Arial" w:cs="Arial"/>
                <w:bCs/>
                <w:color w:val="000000"/>
                <w:sz w:val="20"/>
                <w:szCs w:val="20"/>
              </w:rPr>
              <w:t>ns</w:t>
            </w:r>
            <w:r w:rsidRPr="00C96C76">
              <w:rPr>
                <w:rFonts w:ascii="Arial" w:hAnsi="Arial" w:cs="Arial"/>
                <w:bCs/>
                <w:color w:val="000000"/>
                <w:sz w:val="20"/>
                <w:szCs w:val="20"/>
              </w:rPr>
              <w:t xml:space="preserve"> for twelve months. </w:t>
            </w:r>
            <w:r w:rsidR="00C96C76">
              <w:rPr>
                <w:rFonts w:ascii="Arial" w:hAnsi="Arial" w:cs="Arial"/>
                <w:bCs/>
                <w:color w:val="000000"/>
                <w:sz w:val="20"/>
                <w:szCs w:val="20"/>
              </w:rPr>
              <w:t xml:space="preserve">The Regulations </w:t>
            </w:r>
            <w:r w:rsidR="00C96C76" w:rsidRPr="00C96C76">
              <w:rPr>
                <w:rFonts w:ascii="Arial" w:hAnsi="Arial" w:cs="Arial"/>
                <w:bCs/>
                <w:color w:val="000000"/>
                <w:sz w:val="20"/>
                <w:szCs w:val="20"/>
              </w:rPr>
              <w:t>no longer state dates</w:t>
            </w:r>
            <w:r w:rsidR="000F4D79">
              <w:rPr>
                <w:rFonts w:ascii="Arial" w:hAnsi="Arial" w:cs="Arial"/>
                <w:bCs/>
                <w:color w:val="000000"/>
                <w:sz w:val="20"/>
                <w:szCs w:val="20"/>
              </w:rPr>
              <w:t xml:space="preserve"> for the appraisal cycle just pay decisions. </w:t>
            </w:r>
            <w:r w:rsidR="00C96C76" w:rsidRPr="00C96C76">
              <w:rPr>
                <w:rFonts w:ascii="Arial" w:hAnsi="Arial" w:cs="Arial"/>
                <w:bCs/>
                <w:color w:val="000000"/>
                <w:sz w:val="20"/>
                <w:szCs w:val="20"/>
              </w:rPr>
              <w:t>We would suggest it makes sense for it to be in line with when pay</w:t>
            </w:r>
            <w:r w:rsidR="00C96C76">
              <w:rPr>
                <w:rFonts w:ascii="Arial" w:hAnsi="Arial" w:cs="Arial"/>
                <w:bCs/>
                <w:color w:val="000000"/>
                <w:sz w:val="20"/>
                <w:szCs w:val="20"/>
              </w:rPr>
              <w:t xml:space="preserve"> decisions n</w:t>
            </w:r>
            <w:r w:rsidR="00C96C76" w:rsidRPr="00C96C76">
              <w:rPr>
                <w:rFonts w:ascii="Arial" w:hAnsi="Arial" w:cs="Arial"/>
                <w:bCs/>
                <w:color w:val="000000"/>
                <w:sz w:val="20"/>
                <w:szCs w:val="20"/>
              </w:rPr>
              <w:t>eed to be made</w:t>
            </w:r>
          </w:p>
          <w:p w:rsidR="00B80FC0" w:rsidRPr="00F46676" w:rsidRDefault="00B80FC0" w:rsidP="00FB135D">
            <w:pPr>
              <w:rPr>
                <w:rFonts w:ascii="Arial" w:hAnsi="Arial" w:cs="Arial"/>
                <w:sz w:val="20"/>
                <w:szCs w:val="20"/>
              </w:rPr>
            </w:pPr>
          </w:p>
        </w:tc>
      </w:tr>
      <w:tr w:rsidR="00576D9A" w:rsidRPr="00F46676" w:rsidTr="000B60D2">
        <w:trPr>
          <w:trHeight w:val="837"/>
        </w:trPr>
        <w:tc>
          <w:tcPr>
            <w:tcW w:w="5070" w:type="dxa"/>
            <w:vAlign w:val="center"/>
          </w:tcPr>
          <w:p w:rsidR="00576D9A" w:rsidRPr="000F4D79" w:rsidRDefault="00313A22" w:rsidP="00FB135D">
            <w:pPr>
              <w:rPr>
                <w:rFonts w:ascii="Arial" w:hAnsi="Arial" w:cs="Arial"/>
                <w:sz w:val="20"/>
                <w:szCs w:val="20"/>
              </w:rPr>
            </w:pPr>
            <w:r w:rsidRPr="000F4D79">
              <w:rPr>
                <w:rFonts w:ascii="Arial" w:hAnsi="Arial" w:cs="Arial"/>
                <w:b/>
                <w:sz w:val="20"/>
                <w:szCs w:val="20"/>
              </w:rPr>
              <w:t>Appeals</w:t>
            </w:r>
            <w:r w:rsidRPr="000F4D79">
              <w:rPr>
                <w:rFonts w:ascii="Arial" w:hAnsi="Arial" w:cs="Arial"/>
                <w:sz w:val="20"/>
                <w:szCs w:val="20"/>
              </w:rPr>
              <w:t xml:space="preserve"> process agreed </w:t>
            </w:r>
          </w:p>
        </w:tc>
        <w:tc>
          <w:tcPr>
            <w:tcW w:w="2693" w:type="dxa"/>
          </w:tcPr>
          <w:p w:rsidR="00576D9A" w:rsidRPr="00F46676" w:rsidRDefault="00576D9A" w:rsidP="00576D9A">
            <w:pPr>
              <w:rPr>
                <w:rFonts w:ascii="Arial" w:hAnsi="Arial" w:cs="Arial"/>
                <w:sz w:val="20"/>
                <w:szCs w:val="20"/>
              </w:rPr>
            </w:pPr>
          </w:p>
        </w:tc>
        <w:tc>
          <w:tcPr>
            <w:tcW w:w="7087" w:type="dxa"/>
            <w:vAlign w:val="center"/>
          </w:tcPr>
          <w:p w:rsidR="00F46676" w:rsidRPr="00F46676" w:rsidRDefault="00B07D91" w:rsidP="000F4D79">
            <w:pPr>
              <w:rPr>
                <w:rFonts w:ascii="Arial" w:hAnsi="Arial" w:cs="Arial"/>
                <w:sz w:val="20"/>
                <w:szCs w:val="20"/>
              </w:rPr>
            </w:pPr>
            <w:r>
              <w:rPr>
                <w:rFonts w:ascii="Arial" w:hAnsi="Arial" w:cs="Arial"/>
                <w:sz w:val="20"/>
                <w:szCs w:val="20"/>
              </w:rPr>
              <w:t xml:space="preserve">We recommend that the full GB delegate responsibility of deciding on pay to the pay panel/resources committee for teachers and HT appraisal panel </w:t>
            </w:r>
            <w:r w:rsidR="000F4D79">
              <w:rPr>
                <w:rFonts w:ascii="Arial" w:hAnsi="Arial" w:cs="Arial"/>
                <w:sz w:val="20"/>
                <w:szCs w:val="20"/>
              </w:rPr>
              <w:t>for headteachers</w:t>
            </w:r>
            <w:r>
              <w:rPr>
                <w:rFonts w:ascii="Arial" w:hAnsi="Arial" w:cs="Arial"/>
                <w:sz w:val="20"/>
                <w:szCs w:val="20"/>
              </w:rPr>
              <w:t xml:space="preserve">. The reason for this to allow for </w:t>
            </w:r>
            <w:r w:rsidR="000F4D79">
              <w:rPr>
                <w:rFonts w:ascii="Arial" w:hAnsi="Arial" w:cs="Arial"/>
                <w:sz w:val="20"/>
                <w:szCs w:val="20"/>
              </w:rPr>
              <w:t xml:space="preserve">‘independent’ </w:t>
            </w:r>
            <w:r>
              <w:rPr>
                <w:rFonts w:ascii="Arial" w:hAnsi="Arial" w:cs="Arial"/>
                <w:sz w:val="20"/>
                <w:szCs w:val="20"/>
              </w:rPr>
              <w:t xml:space="preserve">governors to sit on appeals </w:t>
            </w:r>
            <w:r w:rsidR="000F4D79">
              <w:rPr>
                <w:rFonts w:ascii="Arial" w:hAnsi="Arial" w:cs="Arial"/>
                <w:sz w:val="20"/>
                <w:szCs w:val="20"/>
              </w:rPr>
              <w:t xml:space="preserve">panels </w:t>
            </w:r>
            <w:r>
              <w:rPr>
                <w:rFonts w:ascii="Arial" w:hAnsi="Arial" w:cs="Arial"/>
                <w:sz w:val="20"/>
                <w:szCs w:val="20"/>
              </w:rPr>
              <w:t xml:space="preserve">if required (i.e. must not have been part of any pay decisions).  </w:t>
            </w:r>
            <w:r w:rsidR="00E027D5">
              <w:rPr>
                <w:rFonts w:ascii="Arial" w:hAnsi="Arial" w:cs="Arial"/>
                <w:sz w:val="20"/>
                <w:szCs w:val="20"/>
              </w:rPr>
              <w:t xml:space="preserve">The </w:t>
            </w:r>
            <w:r>
              <w:rPr>
                <w:rFonts w:ascii="Arial" w:hAnsi="Arial" w:cs="Arial"/>
                <w:sz w:val="20"/>
                <w:szCs w:val="20"/>
              </w:rPr>
              <w:t xml:space="preserve">school </w:t>
            </w:r>
            <w:r w:rsidR="00E027D5">
              <w:rPr>
                <w:rFonts w:ascii="Arial" w:hAnsi="Arial" w:cs="Arial"/>
                <w:sz w:val="20"/>
                <w:szCs w:val="20"/>
              </w:rPr>
              <w:t>appeals process should reflect the ACAS code of practice</w:t>
            </w:r>
            <w:r>
              <w:rPr>
                <w:rFonts w:ascii="Arial" w:hAnsi="Arial" w:cs="Arial"/>
                <w:sz w:val="20"/>
                <w:szCs w:val="20"/>
              </w:rPr>
              <w:t>. N.B full GB should still approve finances</w:t>
            </w:r>
          </w:p>
        </w:tc>
      </w:tr>
      <w:tr w:rsidR="003743C4" w:rsidRPr="00F46676" w:rsidTr="000B60D2">
        <w:trPr>
          <w:trHeight w:val="692"/>
        </w:trPr>
        <w:tc>
          <w:tcPr>
            <w:tcW w:w="5070" w:type="dxa"/>
            <w:vAlign w:val="center"/>
          </w:tcPr>
          <w:p w:rsidR="003743C4" w:rsidRPr="000F4D79" w:rsidRDefault="003743C4" w:rsidP="000F4D79">
            <w:pPr>
              <w:rPr>
                <w:rFonts w:ascii="Arial" w:hAnsi="Arial" w:cs="Arial"/>
                <w:sz w:val="20"/>
                <w:szCs w:val="20"/>
              </w:rPr>
            </w:pPr>
            <w:r w:rsidRPr="000F4D79">
              <w:rPr>
                <w:rFonts w:ascii="Arial" w:hAnsi="Arial" w:cs="Arial"/>
                <w:b/>
                <w:sz w:val="20"/>
                <w:szCs w:val="20"/>
              </w:rPr>
              <w:t>H</w:t>
            </w:r>
            <w:r w:rsidR="000F4D79" w:rsidRPr="000F4D79">
              <w:rPr>
                <w:rFonts w:ascii="Arial" w:hAnsi="Arial" w:cs="Arial"/>
                <w:b/>
                <w:sz w:val="20"/>
                <w:szCs w:val="20"/>
              </w:rPr>
              <w:t>eadteacher (HT)</w:t>
            </w:r>
            <w:r w:rsidRPr="000F4D79">
              <w:rPr>
                <w:rFonts w:ascii="Arial" w:hAnsi="Arial" w:cs="Arial"/>
                <w:b/>
                <w:sz w:val="20"/>
                <w:szCs w:val="20"/>
              </w:rPr>
              <w:t xml:space="preserve"> report</w:t>
            </w:r>
            <w:r w:rsidRPr="000F4D79">
              <w:rPr>
                <w:rFonts w:ascii="Arial" w:hAnsi="Arial" w:cs="Arial"/>
                <w:sz w:val="20"/>
                <w:szCs w:val="20"/>
              </w:rPr>
              <w:t xml:space="preserve"> on appraisals and outcomes linked to pay</w:t>
            </w:r>
          </w:p>
        </w:tc>
        <w:tc>
          <w:tcPr>
            <w:tcW w:w="2693" w:type="dxa"/>
          </w:tcPr>
          <w:p w:rsidR="003743C4" w:rsidRPr="00F46676" w:rsidRDefault="003743C4" w:rsidP="00576D9A">
            <w:pPr>
              <w:rPr>
                <w:rFonts w:ascii="Arial" w:hAnsi="Arial" w:cs="Arial"/>
                <w:sz w:val="20"/>
                <w:szCs w:val="20"/>
              </w:rPr>
            </w:pPr>
          </w:p>
        </w:tc>
        <w:tc>
          <w:tcPr>
            <w:tcW w:w="7087" w:type="dxa"/>
            <w:vAlign w:val="center"/>
          </w:tcPr>
          <w:p w:rsidR="00F46676" w:rsidRPr="00F46676" w:rsidRDefault="003743C4" w:rsidP="00B35FA0">
            <w:pPr>
              <w:rPr>
                <w:rFonts w:ascii="Arial" w:hAnsi="Arial" w:cs="Arial"/>
                <w:sz w:val="20"/>
                <w:szCs w:val="20"/>
              </w:rPr>
            </w:pPr>
            <w:r w:rsidRPr="00F46676">
              <w:rPr>
                <w:rFonts w:ascii="Arial" w:hAnsi="Arial" w:cs="Arial"/>
                <w:sz w:val="20"/>
                <w:szCs w:val="20"/>
              </w:rPr>
              <w:t xml:space="preserve">This </w:t>
            </w:r>
            <w:r w:rsidR="00A27D12">
              <w:rPr>
                <w:rFonts w:ascii="Arial" w:hAnsi="Arial" w:cs="Arial"/>
                <w:sz w:val="20"/>
                <w:szCs w:val="20"/>
              </w:rPr>
              <w:t>must be</w:t>
            </w:r>
            <w:r w:rsidRPr="00F46676">
              <w:rPr>
                <w:rFonts w:ascii="Arial" w:hAnsi="Arial" w:cs="Arial"/>
                <w:sz w:val="20"/>
                <w:szCs w:val="20"/>
              </w:rPr>
              <w:t xml:space="preserve"> annual but </w:t>
            </w:r>
            <w:r w:rsidR="005F01AC">
              <w:rPr>
                <w:rFonts w:ascii="Arial" w:hAnsi="Arial" w:cs="Arial"/>
                <w:sz w:val="20"/>
                <w:szCs w:val="20"/>
              </w:rPr>
              <w:t>could be more regular</w:t>
            </w:r>
            <w:r w:rsidR="00A27D12">
              <w:rPr>
                <w:rFonts w:ascii="Arial" w:hAnsi="Arial" w:cs="Arial"/>
                <w:sz w:val="20"/>
                <w:szCs w:val="20"/>
              </w:rPr>
              <w:t xml:space="preserve"> e.g.</w:t>
            </w:r>
            <w:r w:rsidRPr="00F46676">
              <w:rPr>
                <w:rFonts w:ascii="Arial" w:hAnsi="Arial" w:cs="Arial"/>
                <w:sz w:val="20"/>
                <w:szCs w:val="20"/>
              </w:rPr>
              <w:t xml:space="preserve"> form part of the HT report</w:t>
            </w:r>
            <w:r w:rsidR="005F01AC">
              <w:rPr>
                <w:rFonts w:ascii="Arial" w:hAnsi="Arial" w:cs="Arial"/>
                <w:sz w:val="20"/>
                <w:szCs w:val="20"/>
              </w:rPr>
              <w:t xml:space="preserve"> to governors</w:t>
            </w:r>
            <w:r w:rsidR="000B60D2">
              <w:rPr>
                <w:rFonts w:ascii="Arial" w:hAnsi="Arial" w:cs="Arial"/>
                <w:sz w:val="20"/>
                <w:szCs w:val="20"/>
              </w:rPr>
              <w:t xml:space="preserve"> – reporting key information relating to impact of appraisal policy on teaching and learning and CPD. Should cover not just annual results/outcome but effectiveness of ongoing appraisal/monitoring of </w:t>
            </w:r>
            <w:r w:rsidR="00B35FA0">
              <w:rPr>
                <w:rFonts w:ascii="Arial" w:hAnsi="Arial" w:cs="Arial"/>
                <w:sz w:val="20"/>
                <w:szCs w:val="20"/>
              </w:rPr>
              <w:t>.NB ongoing PERFOMANCE is key not just end results</w:t>
            </w:r>
          </w:p>
        </w:tc>
      </w:tr>
      <w:tr w:rsidR="003743C4" w:rsidRPr="00F46676" w:rsidTr="000B60D2">
        <w:trPr>
          <w:trHeight w:val="903"/>
        </w:trPr>
        <w:tc>
          <w:tcPr>
            <w:tcW w:w="5070" w:type="dxa"/>
            <w:vAlign w:val="center"/>
          </w:tcPr>
          <w:p w:rsidR="003743C4" w:rsidRPr="000F4D79" w:rsidRDefault="003743C4" w:rsidP="00FB135D">
            <w:pPr>
              <w:rPr>
                <w:rFonts w:ascii="Arial" w:hAnsi="Arial" w:cs="Arial"/>
                <w:sz w:val="20"/>
                <w:szCs w:val="20"/>
              </w:rPr>
            </w:pPr>
            <w:r w:rsidRPr="000F4D79">
              <w:rPr>
                <w:rFonts w:ascii="Arial" w:hAnsi="Arial" w:cs="Arial"/>
                <w:b/>
                <w:sz w:val="20"/>
                <w:szCs w:val="20"/>
              </w:rPr>
              <w:t>Monitoring</w:t>
            </w:r>
            <w:r w:rsidRPr="000F4D79">
              <w:rPr>
                <w:rFonts w:ascii="Arial" w:hAnsi="Arial" w:cs="Arial"/>
                <w:sz w:val="20"/>
                <w:szCs w:val="20"/>
              </w:rPr>
              <w:t xml:space="preserve"> of teacher performance – quality of teaching and link to appraisal evidence/monitoring </w:t>
            </w:r>
          </w:p>
        </w:tc>
        <w:tc>
          <w:tcPr>
            <w:tcW w:w="2693" w:type="dxa"/>
          </w:tcPr>
          <w:p w:rsidR="003743C4" w:rsidRPr="00F46676" w:rsidRDefault="003743C4" w:rsidP="00576D9A">
            <w:pPr>
              <w:rPr>
                <w:rFonts w:ascii="Arial" w:hAnsi="Arial" w:cs="Arial"/>
                <w:sz w:val="20"/>
                <w:szCs w:val="20"/>
              </w:rPr>
            </w:pPr>
          </w:p>
        </w:tc>
        <w:tc>
          <w:tcPr>
            <w:tcW w:w="7087" w:type="dxa"/>
            <w:vAlign w:val="center"/>
          </w:tcPr>
          <w:p w:rsidR="00B80FC0" w:rsidRPr="00F46676" w:rsidRDefault="00A71528" w:rsidP="00B35FA0">
            <w:pPr>
              <w:rPr>
                <w:rFonts w:ascii="Arial" w:hAnsi="Arial" w:cs="Arial"/>
                <w:sz w:val="20"/>
                <w:szCs w:val="20"/>
              </w:rPr>
            </w:pPr>
            <w:r w:rsidRPr="00F46676">
              <w:rPr>
                <w:rFonts w:ascii="Arial" w:hAnsi="Arial" w:cs="Arial"/>
                <w:sz w:val="20"/>
                <w:szCs w:val="20"/>
              </w:rPr>
              <w:t>Monitor the impact of appraisal/ pay on teacher performance</w:t>
            </w:r>
            <w:r w:rsidR="000B60D2">
              <w:rPr>
                <w:rFonts w:ascii="Arial" w:hAnsi="Arial" w:cs="Arial"/>
                <w:sz w:val="20"/>
                <w:szCs w:val="20"/>
              </w:rPr>
              <w:t xml:space="preserve"> and on- appraisal/monitoring (see above HT report) going</w:t>
            </w:r>
            <w:r w:rsidR="00B35FA0">
              <w:rPr>
                <w:rFonts w:ascii="Arial" w:hAnsi="Arial" w:cs="Arial"/>
                <w:sz w:val="20"/>
                <w:szCs w:val="20"/>
              </w:rPr>
              <w:t>.</w:t>
            </w:r>
            <w:r w:rsidRPr="00F46676">
              <w:rPr>
                <w:rFonts w:ascii="Arial" w:hAnsi="Arial" w:cs="Arial"/>
                <w:sz w:val="20"/>
                <w:szCs w:val="20"/>
              </w:rPr>
              <w:t xml:space="preserve"> </w:t>
            </w:r>
            <w:r w:rsidR="003743C4" w:rsidRPr="00F46676">
              <w:rPr>
                <w:rFonts w:ascii="Arial" w:hAnsi="Arial" w:cs="Arial"/>
                <w:sz w:val="20"/>
                <w:szCs w:val="20"/>
              </w:rPr>
              <w:t>Ofsted question to an Ealing GB</w:t>
            </w:r>
            <w:r w:rsidRPr="00F46676">
              <w:rPr>
                <w:rFonts w:ascii="Arial" w:hAnsi="Arial" w:cs="Arial"/>
                <w:sz w:val="20"/>
                <w:szCs w:val="20"/>
              </w:rPr>
              <w:t xml:space="preserve">: </w:t>
            </w:r>
            <w:r w:rsidR="003743C4" w:rsidRPr="00F46676">
              <w:rPr>
                <w:rFonts w:ascii="Arial" w:hAnsi="Arial" w:cs="Arial"/>
                <w:sz w:val="20"/>
                <w:szCs w:val="20"/>
              </w:rPr>
              <w:t>If 60% of teaching good and outstanding in</w:t>
            </w:r>
            <w:r w:rsidRPr="00F46676">
              <w:rPr>
                <w:rFonts w:ascii="Arial" w:hAnsi="Arial" w:cs="Arial"/>
                <w:sz w:val="20"/>
                <w:szCs w:val="20"/>
              </w:rPr>
              <w:t xml:space="preserve"> </w:t>
            </w:r>
            <w:r w:rsidR="003743C4" w:rsidRPr="00F46676">
              <w:rPr>
                <w:rFonts w:ascii="Arial" w:hAnsi="Arial" w:cs="Arial"/>
                <w:sz w:val="20"/>
                <w:szCs w:val="20"/>
              </w:rPr>
              <w:t xml:space="preserve">your school what </w:t>
            </w:r>
            <w:proofErr w:type="gramStart"/>
            <w:r w:rsidR="003743C4" w:rsidRPr="00F46676">
              <w:rPr>
                <w:rFonts w:ascii="Arial" w:hAnsi="Arial" w:cs="Arial"/>
                <w:sz w:val="20"/>
                <w:szCs w:val="20"/>
              </w:rPr>
              <w:t>are</w:t>
            </w:r>
            <w:proofErr w:type="gramEnd"/>
            <w:r w:rsidR="003743C4" w:rsidRPr="00F46676">
              <w:rPr>
                <w:rFonts w:ascii="Arial" w:hAnsi="Arial" w:cs="Arial"/>
                <w:sz w:val="20"/>
                <w:szCs w:val="20"/>
              </w:rPr>
              <w:t xml:space="preserve"> governors doi</w:t>
            </w:r>
            <w:r w:rsidR="00F46676">
              <w:rPr>
                <w:rFonts w:ascii="Arial" w:hAnsi="Arial" w:cs="Arial"/>
                <w:sz w:val="20"/>
                <w:szCs w:val="20"/>
              </w:rPr>
              <w:t xml:space="preserve">ng/going to </w:t>
            </w:r>
            <w:r w:rsidR="00B35FA0">
              <w:rPr>
                <w:rFonts w:ascii="Arial" w:hAnsi="Arial" w:cs="Arial"/>
                <w:sz w:val="20"/>
                <w:szCs w:val="20"/>
              </w:rPr>
              <w:t xml:space="preserve">do </w:t>
            </w:r>
            <w:r w:rsidR="00F46676">
              <w:rPr>
                <w:rFonts w:ascii="Arial" w:hAnsi="Arial" w:cs="Arial"/>
                <w:sz w:val="20"/>
                <w:szCs w:val="20"/>
              </w:rPr>
              <w:t>about other 40%</w:t>
            </w:r>
            <w:r w:rsidR="000B60D2">
              <w:rPr>
                <w:rFonts w:ascii="Arial" w:hAnsi="Arial" w:cs="Arial"/>
                <w:sz w:val="20"/>
                <w:szCs w:val="20"/>
              </w:rPr>
              <w:t>. Could you answer?</w:t>
            </w:r>
          </w:p>
        </w:tc>
      </w:tr>
      <w:tr w:rsidR="00A71528" w:rsidRPr="00F46676" w:rsidTr="000B60D2">
        <w:trPr>
          <w:trHeight w:val="654"/>
        </w:trPr>
        <w:tc>
          <w:tcPr>
            <w:tcW w:w="5070" w:type="dxa"/>
            <w:vAlign w:val="center"/>
          </w:tcPr>
          <w:p w:rsidR="00A71528" w:rsidRPr="000F4D79" w:rsidRDefault="00A71528" w:rsidP="00FB135D">
            <w:pPr>
              <w:rPr>
                <w:rFonts w:ascii="Arial" w:hAnsi="Arial" w:cs="Arial"/>
                <w:sz w:val="20"/>
                <w:szCs w:val="20"/>
              </w:rPr>
            </w:pPr>
            <w:r w:rsidRPr="000F4D79">
              <w:rPr>
                <w:rFonts w:ascii="Arial" w:hAnsi="Arial" w:cs="Arial"/>
                <w:sz w:val="20"/>
                <w:szCs w:val="20"/>
              </w:rPr>
              <w:t xml:space="preserve">Annually review </w:t>
            </w:r>
            <w:r w:rsidRPr="000F4D79">
              <w:rPr>
                <w:rFonts w:ascii="Arial" w:hAnsi="Arial" w:cs="Arial"/>
                <w:b/>
                <w:sz w:val="20"/>
                <w:szCs w:val="20"/>
              </w:rPr>
              <w:t>staffing structure</w:t>
            </w:r>
            <w:r w:rsidRPr="000F4D79">
              <w:rPr>
                <w:rFonts w:ascii="Arial" w:hAnsi="Arial" w:cs="Arial"/>
                <w:sz w:val="20"/>
                <w:szCs w:val="20"/>
              </w:rPr>
              <w:t xml:space="preserve"> (fit for purpose) and staff conditions</w:t>
            </w:r>
          </w:p>
        </w:tc>
        <w:tc>
          <w:tcPr>
            <w:tcW w:w="2693" w:type="dxa"/>
          </w:tcPr>
          <w:p w:rsidR="00A71528" w:rsidRPr="00F46676" w:rsidRDefault="00A71528" w:rsidP="00576D9A">
            <w:pPr>
              <w:rPr>
                <w:rFonts w:ascii="Arial" w:hAnsi="Arial" w:cs="Arial"/>
                <w:sz w:val="20"/>
                <w:szCs w:val="20"/>
              </w:rPr>
            </w:pPr>
          </w:p>
        </w:tc>
        <w:tc>
          <w:tcPr>
            <w:tcW w:w="7087" w:type="dxa"/>
            <w:vAlign w:val="center"/>
          </w:tcPr>
          <w:p w:rsidR="00A71528" w:rsidRPr="00F46676" w:rsidRDefault="00A71528" w:rsidP="00FB135D">
            <w:pPr>
              <w:rPr>
                <w:rFonts w:ascii="Arial" w:hAnsi="Arial" w:cs="Arial"/>
                <w:sz w:val="20"/>
                <w:szCs w:val="20"/>
              </w:rPr>
            </w:pPr>
            <w:r w:rsidRPr="00F46676">
              <w:rPr>
                <w:rFonts w:ascii="Arial" w:hAnsi="Arial" w:cs="Arial"/>
                <w:sz w:val="20"/>
                <w:szCs w:val="20"/>
              </w:rPr>
              <w:t xml:space="preserve">Generic appraisal evidence can be used to help inform </w:t>
            </w:r>
          </w:p>
        </w:tc>
      </w:tr>
      <w:tr w:rsidR="003743C4" w:rsidRPr="00F46676" w:rsidTr="000B60D2">
        <w:trPr>
          <w:trHeight w:val="561"/>
        </w:trPr>
        <w:tc>
          <w:tcPr>
            <w:tcW w:w="5070" w:type="dxa"/>
            <w:shd w:val="pct10" w:color="auto" w:fill="auto"/>
            <w:vAlign w:val="center"/>
          </w:tcPr>
          <w:p w:rsidR="003743C4" w:rsidRPr="00B80FC0" w:rsidRDefault="00F46676" w:rsidP="00FB135D">
            <w:pPr>
              <w:jc w:val="center"/>
              <w:rPr>
                <w:rFonts w:ascii="Arial" w:hAnsi="Arial" w:cs="Arial"/>
              </w:rPr>
            </w:pPr>
            <w:r w:rsidRPr="00B80FC0">
              <w:rPr>
                <w:rFonts w:ascii="Arial" w:hAnsi="Arial" w:cs="Arial"/>
                <w:b/>
              </w:rPr>
              <w:lastRenderedPageBreak/>
              <w:t>Pay Committee</w:t>
            </w:r>
          </w:p>
        </w:tc>
        <w:tc>
          <w:tcPr>
            <w:tcW w:w="2693" w:type="dxa"/>
            <w:shd w:val="pct10" w:color="auto" w:fill="auto"/>
            <w:vAlign w:val="center"/>
          </w:tcPr>
          <w:p w:rsidR="003743C4" w:rsidRPr="00B80FC0" w:rsidRDefault="003743C4" w:rsidP="00FB135D">
            <w:pPr>
              <w:jc w:val="center"/>
              <w:rPr>
                <w:rFonts w:ascii="Arial" w:hAnsi="Arial" w:cs="Arial"/>
                <w:b/>
              </w:rPr>
            </w:pPr>
            <w:r w:rsidRPr="00B80FC0">
              <w:rPr>
                <w:rFonts w:ascii="Arial" w:hAnsi="Arial" w:cs="Arial"/>
                <w:b/>
              </w:rPr>
              <w:t>In place/in progress/not in place</w:t>
            </w:r>
          </w:p>
        </w:tc>
        <w:tc>
          <w:tcPr>
            <w:tcW w:w="7087" w:type="dxa"/>
            <w:shd w:val="pct10" w:color="auto" w:fill="auto"/>
            <w:vAlign w:val="center"/>
          </w:tcPr>
          <w:p w:rsidR="003743C4" w:rsidRPr="00B80FC0" w:rsidRDefault="00FB135D" w:rsidP="00FB135D">
            <w:pPr>
              <w:jc w:val="center"/>
              <w:rPr>
                <w:rFonts w:ascii="Arial" w:hAnsi="Arial" w:cs="Arial"/>
                <w:b/>
              </w:rPr>
            </w:pPr>
            <w:r>
              <w:rPr>
                <w:rFonts w:ascii="Arial" w:hAnsi="Arial" w:cs="Arial"/>
                <w:b/>
              </w:rPr>
              <w:t>C</w:t>
            </w:r>
            <w:r w:rsidR="003743C4" w:rsidRPr="00B80FC0">
              <w:rPr>
                <w:rFonts w:ascii="Arial" w:hAnsi="Arial" w:cs="Arial"/>
                <w:b/>
              </w:rPr>
              <w:t>omments/ Improvements/next steps</w:t>
            </w:r>
          </w:p>
        </w:tc>
      </w:tr>
      <w:tr w:rsidR="00A71528" w:rsidRPr="00F46676" w:rsidTr="000B60D2">
        <w:trPr>
          <w:trHeight w:val="839"/>
        </w:trPr>
        <w:tc>
          <w:tcPr>
            <w:tcW w:w="5070" w:type="dxa"/>
            <w:vAlign w:val="center"/>
          </w:tcPr>
          <w:p w:rsidR="00A71528" w:rsidRPr="000F4D79" w:rsidRDefault="00A71528" w:rsidP="00A27D12">
            <w:pPr>
              <w:rPr>
                <w:rFonts w:ascii="Arial" w:hAnsi="Arial" w:cs="Arial"/>
                <w:sz w:val="20"/>
                <w:szCs w:val="20"/>
              </w:rPr>
            </w:pPr>
            <w:r w:rsidRPr="000F4D79">
              <w:rPr>
                <w:rFonts w:ascii="Arial" w:hAnsi="Arial" w:cs="Arial"/>
                <w:b/>
                <w:sz w:val="20"/>
                <w:szCs w:val="20"/>
              </w:rPr>
              <w:t>Terms of reference</w:t>
            </w:r>
            <w:r w:rsidRPr="000F4D79">
              <w:rPr>
                <w:rFonts w:ascii="Arial" w:hAnsi="Arial" w:cs="Arial"/>
                <w:sz w:val="20"/>
                <w:szCs w:val="20"/>
              </w:rPr>
              <w:t xml:space="preserve"> and membership </w:t>
            </w:r>
            <w:r w:rsidR="00A27D12" w:rsidRPr="000F4D79">
              <w:rPr>
                <w:rFonts w:ascii="Arial" w:hAnsi="Arial" w:cs="Arial"/>
                <w:sz w:val="20"/>
                <w:szCs w:val="20"/>
              </w:rPr>
              <w:t>reviewed</w:t>
            </w:r>
            <w:r w:rsidRPr="000F4D79">
              <w:rPr>
                <w:rFonts w:ascii="Arial" w:hAnsi="Arial" w:cs="Arial"/>
                <w:sz w:val="20"/>
                <w:szCs w:val="20"/>
              </w:rPr>
              <w:t xml:space="preserve"> and agreed </w:t>
            </w:r>
          </w:p>
        </w:tc>
        <w:tc>
          <w:tcPr>
            <w:tcW w:w="2693" w:type="dxa"/>
          </w:tcPr>
          <w:p w:rsidR="00A71528" w:rsidRPr="00F46676" w:rsidRDefault="00A71528" w:rsidP="003743C4">
            <w:pPr>
              <w:jc w:val="center"/>
              <w:rPr>
                <w:rFonts w:ascii="Arial" w:hAnsi="Arial" w:cs="Arial"/>
                <w:b/>
                <w:sz w:val="20"/>
                <w:szCs w:val="20"/>
              </w:rPr>
            </w:pPr>
          </w:p>
        </w:tc>
        <w:tc>
          <w:tcPr>
            <w:tcW w:w="7087" w:type="dxa"/>
          </w:tcPr>
          <w:p w:rsidR="00A71528" w:rsidRDefault="00A71528" w:rsidP="00A71528">
            <w:pPr>
              <w:rPr>
                <w:rFonts w:ascii="Arial" w:hAnsi="Arial" w:cs="Arial"/>
                <w:sz w:val="20"/>
                <w:szCs w:val="20"/>
              </w:rPr>
            </w:pPr>
          </w:p>
          <w:p w:rsidR="00B80FC0" w:rsidRDefault="000B60D2" w:rsidP="00A71528">
            <w:pPr>
              <w:rPr>
                <w:rFonts w:ascii="Arial" w:hAnsi="Arial" w:cs="Arial"/>
                <w:sz w:val="20"/>
                <w:szCs w:val="20"/>
              </w:rPr>
            </w:pPr>
            <w:r>
              <w:rPr>
                <w:rFonts w:ascii="Arial" w:hAnsi="Arial" w:cs="Arial"/>
                <w:sz w:val="20"/>
                <w:szCs w:val="20"/>
              </w:rPr>
              <w:t xml:space="preserve">Annually to make sure in line with current appraisal and pay policies. Confidentiality and sensitivity of handling information needs to be part of this. </w:t>
            </w:r>
          </w:p>
          <w:p w:rsidR="00B80FC0" w:rsidRDefault="00B80FC0" w:rsidP="00A71528">
            <w:pPr>
              <w:rPr>
                <w:rFonts w:ascii="Arial" w:hAnsi="Arial" w:cs="Arial"/>
                <w:sz w:val="20"/>
                <w:szCs w:val="20"/>
              </w:rPr>
            </w:pPr>
          </w:p>
          <w:p w:rsidR="00B80FC0" w:rsidRPr="00F46676" w:rsidRDefault="00B80FC0" w:rsidP="00A71528">
            <w:pPr>
              <w:rPr>
                <w:rFonts w:ascii="Arial" w:hAnsi="Arial" w:cs="Arial"/>
                <w:sz w:val="20"/>
                <w:szCs w:val="20"/>
              </w:rPr>
            </w:pPr>
          </w:p>
        </w:tc>
      </w:tr>
      <w:tr w:rsidR="003743C4" w:rsidRPr="00F46676" w:rsidTr="000B60D2">
        <w:trPr>
          <w:trHeight w:val="1759"/>
        </w:trPr>
        <w:tc>
          <w:tcPr>
            <w:tcW w:w="5070" w:type="dxa"/>
            <w:vAlign w:val="center"/>
          </w:tcPr>
          <w:p w:rsidR="003743C4" w:rsidRPr="000F4D79" w:rsidRDefault="003743C4" w:rsidP="00FB135D">
            <w:pPr>
              <w:rPr>
                <w:rFonts w:ascii="Arial" w:hAnsi="Arial" w:cs="Arial"/>
                <w:sz w:val="20"/>
                <w:szCs w:val="20"/>
              </w:rPr>
            </w:pPr>
            <w:r w:rsidRPr="00B35FA0">
              <w:rPr>
                <w:rFonts w:ascii="Arial" w:hAnsi="Arial" w:cs="Arial"/>
                <w:b/>
                <w:sz w:val="20"/>
                <w:szCs w:val="20"/>
              </w:rPr>
              <w:t>Reviewing pay and performance</w:t>
            </w:r>
            <w:r w:rsidRPr="000F4D79">
              <w:rPr>
                <w:rFonts w:ascii="Arial" w:hAnsi="Arial" w:cs="Arial"/>
                <w:sz w:val="20"/>
                <w:szCs w:val="20"/>
              </w:rPr>
              <w:t xml:space="preserve"> of staff in co-operation with HT</w:t>
            </w:r>
            <w:r w:rsidR="00B35FA0">
              <w:rPr>
                <w:rFonts w:ascii="Arial" w:hAnsi="Arial" w:cs="Arial"/>
                <w:sz w:val="20"/>
                <w:szCs w:val="20"/>
              </w:rPr>
              <w:t xml:space="preserve">. </w:t>
            </w:r>
            <w:r w:rsidRPr="000F4D79">
              <w:rPr>
                <w:rFonts w:ascii="Arial" w:hAnsi="Arial" w:cs="Arial"/>
                <w:sz w:val="20"/>
                <w:szCs w:val="20"/>
              </w:rPr>
              <w:t xml:space="preserve">Review and agree the HT recommendations for </w:t>
            </w:r>
          </w:p>
          <w:p w:rsidR="005F01AC" w:rsidRPr="000F4D79" w:rsidRDefault="003743C4" w:rsidP="00FB135D">
            <w:pPr>
              <w:pStyle w:val="ListParagraph"/>
              <w:numPr>
                <w:ilvl w:val="0"/>
                <w:numId w:val="1"/>
              </w:numPr>
              <w:rPr>
                <w:rFonts w:ascii="Arial" w:hAnsi="Arial" w:cs="Arial"/>
                <w:sz w:val="20"/>
                <w:szCs w:val="20"/>
              </w:rPr>
            </w:pPr>
            <w:r w:rsidRPr="000F4D79">
              <w:rPr>
                <w:rFonts w:ascii="Arial" w:hAnsi="Arial" w:cs="Arial"/>
                <w:sz w:val="20"/>
                <w:szCs w:val="20"/>
              </w:rPr>
              <w:t>Main pay range</w:t>
            </w:r>
            <w:r w:rsidR="00A27D12" w:rsidRPr="000F4D79">
              <w:rPr>
                <w:rFonts w:ascii="Arial" w:hAnsi="Arial" w:cs="Arial"/>
                <w:sz w:val="20"/>
                <w:szCs w:val="20"/>
              </w:rPr>
              <w:t xml:space="preserve"> </w:t>
            </w:r>
          </w:p>
          <w:p w:rsidR="003743C4" w:rsidRPr="000F4D79" w:rsidRDefault="003743C4" w:rsidP="00FB135D">
            <w:pPr>
              <w:pStyle w:val="ListParagraph"/>
              <w:numPr>
                <w:ilvl w:val="0"/>
                <w:numId w:val="1"/>
              </w:numPr>
              <w:rPr>
                <w:rFonts w:ascii="Arial" w:hAnsi="Arial" w:cs="Arial"/>
                <w:sz w:val="20"/>
                <w:szCs w:val="20"/>
              </w:rPr>
            </w:pPr>
            <w:r w:rsidRPr="000F4D79">
              <w:rPr>
                <w:rFonts w:ascii="Arial" w:hAnsi="Arial" w:cs="Arial"/>
                <w:sz w:val="20"/>
                <w:szCs w:val="20"/>
              </w:rPr>
              <w:t xml:space="preserve">Upper pay range - applications for and progression </w:t>
            </w:r>
          </w:p>
          <w:p w:rsidR="003743C4" w:rsidRPr="000F4D79" w:rsidRDefault="003743C4" w:rsidP="00FB135D">
            <w:pPr>
              <w:pStyle w:val="ListParagraph"/>
              <w:numPr>
                <w:ilvl w:val="0"/>
                <w:numId w:val="1"/>
              </w:numPr>
              <w:rPr>
                <w:rFonts w:ascii="Arial" w:hAnsi="Arial" w:cs="Arial"/>
                <w:sz w:val="20"/>
                <w:szCs w:val="20"/>
              </w:rPr>
            </w:pPr>
            <w:r w:rsidRPr="000F4D79">
              <w:rPr>
                <w:rFonts w:ascii="Arial" w:hAnsi="Arial" w:cs="Arial"/>
                <w:sz w:val="20"/>
                <w:szCs w:val="20"/>
              </w:rPr>
              <w:t xml:space="preserve">Leadership </w:t>
            </w:r>
          </w:p>
        </w:tc>
        <w:tc>
          <w:tcPr>
            <w:tcW w:w="2693" w:type="dxa"/>
          </w:tcPr>
          <w:p w:rsidR="003743C4" w:rsidRPr="00F46676" w:rsidRDefault="003743C4" w:rsidP="003743C4">
            <w:pPr>
              <w:jc w:val="center"/>
              <w:rPr>
                <w:rFonts w:ascii="Arial" w:hAnsi="Arial" w:cs="Arial"/>
                <w:b/>
                <w:sz w:val="20"/>
                <w:szCs w:val="20"/>
              </w:rPr>
            </w:pPr>
          </w:p>
        </w:tc>
        <w:tc>
          <w:tcPr>
            <w:tcW w:w="7087" w:type="dxa"/>
            <w:vAlign w:val="center"/>
          </w:tcPr>
          <w:p w:rsidR="003743C4" w:rsidRPr="00F46676" w:rsidRDefault="00B35FA0" w:rsidP="00B35FA0">
            <w:pPr>
              <w:rPr>
                <w:rFonts w:ascii="Arial" w:hAnsi="Arial" w:cs="Arial"/>
                <w:b/>
                <w:sz w:val="20"/>
                <w:szCs w:val="20"/>
              </w:rPr>
            </w:pPr>
            <w:r>
              <w:rPr>
                <w:rFonts w:ascii="Arial" w:hAnsi="Arial" w:cs="Arial"/>
                <w:sz w:val="20"/>
                <w:szCs w:val="20"/>
              </w:rPr>
              <w:t>O</w:t>
            </w:r>
            <w:r w:rsidR="00A71528" w:rsidRPr="00F46676">
              <w:rPr>
                <w:rFonts w:ascii="Arial" w:hAnsi="Arial" w:cs="Arial"/>
                <w:sz w:val="20"/>
                <w:szCs w:val="20"/>
              </w:rPr>
              <w:t>verall</w:t>
            </w:r>
            <w:r>
              <w:rPr>
                <w:rFonts w:ascii="Arial" w:hAnsi="Arial" w:cs="Arial"/>
                <w:sz w:val="20"/>
                <w:szCs w:val="20"/>
              </w:rPr>
              <w:t>. Key is that the school’s pay policy is followed. Since 2014, p</w:t>
            </w:r>
            <w:r w:rsidRPr="00F46676">
              <w:rPr>
                <w:rFonts w:ascii="Arial" w:hAnsi="Arial" w:cs="Arial"/>
                <w:sz w:val="20"/>
                <w:szCs w:val="20"/>
              </w:rPr>
              <w:t xml:space="preserve">ay no longer </w:t>
            </w:r>
            <w:r>
              <w:rPr>
                <w:rFonts w:ascii="Arial" w:hAnsi="Arial" w:cs="Arial"/>
                <w:sz w:val="20"/>
                <w:szCs w:val="20"/>
              </w:rPr>
              <w:t xml:space="preserve">necessarily </w:t>
            </w:r>
            <w:r w:rsidRPr="00F46676">
              <w:rPr>
                <w:rFonts w:ascii="Arial" w:hAnsi="Arial" w:cs="Arial"/>
                <w:sz w:val="20"/>
                <w:szCs w:val="20"/>
              </w:rPr>
              <w:t>based on length o</w:t>
            </w:r>
            <w:r>
              <w:rPr>
                <w:rFonts w:ascii="Arial" w:hAnsi="Arial" w:cs="Arial"/>
                <w:sz w:val="20"/>
                <w:szCs w:val="20"/>
              </w:rPr>
              <w:t xml:space="preserve">f </w:t>
            </w:r>
            <w:proofErr w:type="gramStart"/>
            <w:r>
              <w:rPr>
                <w:rFonts w:ascii="Arial" w:hAnsi="Arial" w:cs="Arial"/>
                <w:sz w:val="20"/>
                <w:szCs w:val="20"/>
              </w:rPr>
              <w:t>service nor</w:t>
            </w:r>
            <w:proofErr w:type="gramEnd"/>
            <w:r>
              <w:rPr>
                <w:rFonts w:ascii="Arial" w:hAnsi="Arial" w:cs="Arial"/>
                <w:sz w:val="20"/>
                <w:szCs w:val="20"/>
              </w:rPr>
              <w:t xml:space="preserve"> just objectives but on overall </w:t>
            </w:r>
            <w:r w:rsidRPr="00F46676">
              <w:rPr>
                <w:rFonts w:ascii="Arial" w:hAnsi="Arial" w:cs="Arial"/>
                <w:sz w:val="20"/>
                <w:szCs w:val="20"/>
              </w:rPr>
              <w:t>performance</w:t>
            </w:r>
            <w:r>
              <w:rPr>
                <w:rFonts w:ascii="Arial" w:hAnsi="Arial" w:cs="Arial"/>
                <w:sz w:val="20"/>
                <w:szCs w:val="20"/>
              </w:rPr>
              <w:t xml:space="preserve">. </w:t>
            </w:r>
          </w:p>
        </w:tc>
      </w:tr>
      <w:tr w:rsidR="003743C4" w:rsidRPr="00F46676" w:rsidTr="000B60D2">
        <w:trPr>
          <w:trHeight w:val="820"/>
        </w:trPr>
        <w:tc>
          <w:tcPr>
            <w:tcW w:w="5070" w:type="dxa"/>
            <w:vAlign w:val="center"/>
          </w:tcPr>
          <w:p w:rsidR="003743C4" w:rsidRPr="000F4D79" w:rsidRDefault="003743C4" w:rsidP="00FB135D">
            <w:pPr>
              <w:rPr>
                <w:rFonts w:ascii="Arial" w:hAnsi="Arial" w:cs="Arial"/>
                <w:sz w:val="20"/>
                <w:szCs w:val="20"/>
              </w:rPr>
            </w:pPr>
            <w:r w:rsidRPr="000F4D79">
              <w:rPr>
                <w:rFonts w:ascii="Arial" w:hAnsi="Arial" w:cs="Arial"/>
                <w:sz w:val="20"/>
                <w:szCs w:val="20"/>
              </w:rPr>
              <w:t xml:space="preserve">Is the </w:t>
            </w:r>
            <w:r w:rsidRPr="00B35FA0">
              <w:rPr>
                <w:rFonts w:ascii="Arial" w:hAnsi="Arial" w:cs="Arial"/>
                <w:b/>
                <w:sz w:val="20"/>
                <w:szCs w:val="20"/>
              </w:rPr>
              <w:t>pay recommendation</w:t>
            </w:r>
            <w:r w:rsidRPr="000F4D79">
              <w:rPr>
                <w:rFonts w:ascii="Arial" w:hAnsi="Arial" w:cs="Arial"/>
                <w:sz w:val="20"/>
                <w:szCs w:val="20"/>
              </w:rPr>
              <w:t xml:space="preserve"> in line with the criteria set out in the pay policy?</w:t>
            </w:r>
          </w:p>
        </w:tc>
        <w:tc>
          <w:tcPr>
            <w:tcW w:w="2693" w:type="dxa"/>
          </w:tcPr>
          <w:p w:rsidR="003743C4" w:rsidRPr="00F46676" w:rsidRDefault="003743C4" w:rsidP="003743C4">
            <w:pPr>
              <w:jc w:val="center"/>
              <w:rPr>
                <w:rFonts w:ascii="Arial" w:hAnsi="Arial" w:cs="Arial"/>
                <w:b/>
                <w:sz w:val="20"/>
                <w:szCs w:val="20"/>
              </w:rPr>
            </w:pPr>
          </w:p>
        </w:tc>
        <w:tc>
          <w:tcPr>
            <w:tcW w:w="7087" w:type="dxa"/>
            <w:vAlign w:val="center"/>
          </w:tcPr>
          <w:p w:rsidR="003743C4" w:rsidRPr="00F46676" w:rsidRDefault="00A71528" w:rsidP="00FB135D">
            <w:pPr>
              <w:shd w:val="clear" w:color="auto" w:fill="FFFFFF"/>
              <w:spacing w:before="100" w:beforeAutospacing="1" w:after="100" w:afterAutospacing="1"/>
              <w:outlineLvl w:val="1"/>
              <w:rPr>
                <w:rFonts w:ascii="Arial" w:hAnsi="Arial" w:cs="Arial"/>
                <w:b/>
                <w:sz w:val="20"/>
                <w:szCs w:val="20"/>
              </w:rPr>
            </w:pPr>
            <w:r w:rsidRPr="00F46676">
              <w:rPr>
                <w:rFonts w:ascii="Arial" w:eastAsia="Times New Roman" w:hAnsi="Arial" w:cs="Arial"/>
                <w:color w:val="000000"/>
                <w:sz w:val="20"/>
                <w:szCs w:val="20"/>
                <w:lang w:eastAsia="en-GB"/>
              </w:rPr>
              <w:t>Process for approving pay should be set out in the pay policy</w:t>
            </w:r>
            <w:r w:rsidR="005F01AC">
              <w:rPr>
                <w:rFonts w:ascii="Arial" w:eastAsia="Times New Roman" w:hAnsi="Arial" w:cs="Arial"/>
                <w:color w:val="000000"/>
                <w:sz w:val="20"/>
                <w:szCs w:val="20"/>
                <w:lang w:eastAsia="en-GB"/>
              </w:rPr>
              <w:t xml:space="preserve"> and linked to appraisal process </w:t>
            </w:r>
          </w:p>
        </w:tc>
      </w:tr>
      <w:tr w:rsidR="003743C4" w:rsidRPr="00F46676" w:rsidTr="000B60D2">
        <w:trPr>
          <w:trHeight w:val="820"/>
        </w:trPr>
        <w:tc>
          <w:tcPr>
            <w:tcW w:w="5070" w:type="dxa"/>
            <w:vAlign w:val="center"/>
          </w:tcPr>
          <w:p w:rsidR="003743C4" w:rsidRPr="000F4D79" w:rsidRDefault="003743C4" w:rsidP="00FB135D">
            <w:pPr>
              <w:rPr>
                <w:rFonts w:ascii="Arial" w:hAnsi="Arial" w:cs="Arial"/>
                <w:sz w:val="20"/>
                <w:szCs w:val="20"/>
              </w:rPr>
            </w:pPr>
            <w:r w:rsidRPr="000F4D79">
              <w:rPr>
                <w:rFonts w:ascii="Arial" w:hAnsi="Arial" w:cs="Arial"/>
                <w:sz w:val="20"/>
                <w:szCs w:val="20"/>
              </w:rPr>
              <w:t xml:space="preserve">Is there </w:t>
            </w:r>
            <w:r w:rsidRPr="00B35FA0">
              <w:rPr>
                <w:rFonts w:ascii="Arial" w:hAnsi="Arial" w:cs="Arial"/>
                <w:b/>
                <w:sz w:val="20"/>
                <w:szCs w:val="20"/>
              </w:rPr>
              <w:t>robust evidence</w:t>
            </w:r>
            <w:r w:rsidRPr="000F4D79">
              <w:rPr>
                <w:rFonts w:ascii="Arial" w:hAnsi="Arial" w:cs="Arial"/>
                <w:sz w:val="20"/>
                <w:szCs w:val="20"/>
              </w:rPr>
              <w:t xml:space="preserve"> to support pay recommendations?</w:t>
            </w:r>
          </w:p>
        </w:tc>
        <w:tc>
          <w:tcPr>
            <w:tcW w:w="2693" w:type="dxa"/>
          </w:tcPr>
          <w:p w:rsidR="003743C4" w:rsidRPr="00F46676" w:rsidRDefault="003743C4" w:rsidP="003743C4">
            <w:pPr>
              <w:jc w:val="center"/>
              <w:rPr>
                <w:rFonts w:ascii="Arial" w:hAnsi="Arial" w:cs="Arial"/>
                <w:b/>
                <w:sz w:val="20"/>
                <w:szCs w:val="20"/>
              </w:rPr>
            </w:pPr>
          </w:p>
        </w:tc>
        <w:tc>
          <w:tcPr>
            <w:tcW w:w="7087" w:type="dxa"/>
            <w:vAlign w:val="center"/>
          </w:tcPr>
          <w:p w:rsidR="003743C4" w:rsidRPr="00B35FA0" w:rsidRDefault="00B35FA0" w:rsidP="00B35FA0">
            <w:pPr>
              <w:rPr>
                <w:rFonts w:ascii="Arial" w:hAnsi="Arial" w:cs="Arial"/>
                <w:sz w:val="20"/>
                <w:szCs w:val="20"/>
              </w:rPr>
            </w:pPr>
            <w:r w:rsidRPr="00B35FA0">
              <w:rPr>
                <w:rFonts w:ascii="Arial" w:hAnsi="Arial" w:cs="Arial"/>
                <w:sz w:val="20"/>
                <w:szCs w:val="20"/>
              </w:rPr>
              <w:t xml:space="preserve">If standards are falling or levelling </w:t>
            </w:r>
            <w:r>
              <w:rPr>
                <w:rFonts w:ascii="Arial" w:hAnsi="Arial" w:cs="Arial"/>
                <w:sz w:val="20"/>
                <w:szCs w:val="20"/>
              </w:rPr>
              <w:t xml:space="preserve">but appraisal targets all or mostly being met, </w:t>
            </w:r>
            <w:r w:rsidRPr="00B35FA0">
              <w:rPr>
                <w:rFonts w:ascii="Arial" w:hAnsi="Arial" w:cs="Arial"/>
                <w:sz w:val="20"/>
                <w:szCs w:val="20"/>
              </w:rPr>
              <w:t xml:space="preserve">can look to see if appraisal </w:t>
            </w:r>
            <w:r>
              <w:rPr>
                <w:rFonts w:ascii="Arial" w:hAnsi="Arial" w:cs="Arial"/>
                <w:sz w:val="20"/>
                <w:szCs w:val="20"/>
              </w:rPr>
              <w:t xml:space="preserve">is </w:t>
            </w:r>
            <w:r w:rsidRPr="00B35FA0">
              <w:rPr>
                <w:rFonts w:ascii="Arial" w:hAnsi="Arial" w:cs="Arial"/>
                <w:sz w:val="20"/>
                <w:szCs w:val="20"/>
              </w:rPr>
              <w:t xml:space="preserve">robust </w:t>
            </w:r>
            <w:r>
              <w:rPr>
                <w:rFonts w:ascii="Arial" w:hAnsi="Arial" w:cs="Arial"/>
                <w:sz w:val="20"/>
                <w:szCs w:val="20"/>
              </w:rPr>
              <w:t xml:space="preserve">enough or objectives sufficiently stretching </w:t>
            </w:r>
          </w:p>
        </w:tc>
      </w:tr>
      <w:tr w:rsidR="003743C4" w:rsidRPr="00F46676" w:rsidTr="000B60D2">
        <w:trPr>
          <w:trHeight w:val="1120"/>
        </w:trPr>
        <w:tc>
          <w:tcPr>
            <w:tcW w:w="5070" w:type="dxa"/>
            <w:vAlign w:val="center"/>
          </w:tcPr>
          <w:p w:rsidR="003743C4" w:rsidRPr="000F4D79" w:rsidRDefault="00B35FA0" w:rsidP="00B35FA0">
            <w:pPr>
              <w:rPr>
                <w:rFonts w:ascii="Arial" w:hAnsi="Arial" w:cs="Arial"/>
                <w:sz w:val="20"/>
                <w:szCs w:val="20"/>
              </w:rPr>
            </w:pPr>
            <w:r>
              <w:rPr>
                <w:rFonts w:ascii="Arial" w:hAnsi="Arial" w:cs="Arial"/>
                <w:sz w:val="20"/>
                <w:szCs w:val="20"/>
              </w:rPr>
              <w:t xml:space="preserve"> Do</w:t>
            </w:r>
            <w:r w:rsidR="003743C4" w:rsidRPr="000F4D79">
              <w:rPr>
                <w:rFonts w:ascii="Arial" w:hAnsi="Arial" w:cs="Arial"/>
                <w:sz w:val="20"/>
                <w:szCs w:val="20"/>
              </w:rPr>
              <w:t xml:space="preserve"> the r</w:t>
            </w:r>
            <w:r w:rsidR="003743C4" w:rsidRPr="00B35FA0">
              <w:rPr>
                <w:rFonts w:ascii="Arial" w:hAnsi="Arial" w:cs="Arial"/>
                <w:b/>
                <w:sz w:val="20"/>
                <w:szCs w:val="20"/>
              </w:rPr>
              <w:t>ecommendation</w:t>
            </w:r>
            <w:r>
              <w:rPr>
                <w:rFonts w:ascii="Arial" w:hAnsi="Arial" w:cs="Arial"/>
                <w:b/>
                <w:sz w:val="20"/>
                <w:szCs w:val="20"/>
              </w:rPr>
              <w:t>s</w:t>
            </w:r>
            <w:r w:rsidR="003743C4" w:rsidRPr="000F4D79">
              <w:rPr>
                <w:rFonts w:ascii="Arial" w:hAnsi="Arial" w:cs="Arial"/>
                <w:sz w:val="20"/>
                <w:szCs w:val="20"/>
              </w:rPr>
              <w:t xml:space="preserve"> show a strong link between appraisal and salary progression?</w:t>
            </w:r>
          </w:p>
        </w:tc>
        <w:tc>
          <w:tcPr>
            <w:tcW w:w="2693" w:type="dxa"/>
          </w:tcPr>
          <w:p w:rsidR="003743C4" w:rsidRPr="00F46676" w:rsidRDefault="003743C4" w:rsidP="003743C4">
            <w:pPr>
              <w:jc w:val="center"/>
              <w:rPr>
                <w:rFonts w:ascii="Arial" w:hAnsi="Arial" w:cs="Arial"/>
                <w:b/>
                <w:sz w:val="20"/>
                <w:szCs w:val="20"/>
              </w:rPr>
            </w:pPr>
          </w:p>
        </w:tc>
        <w:tc>
          <w:tcPr>
            <w:tcW w:w="7087" w:type="dxa"/>
            <w:vAlign w:val="center"/>
          </w:tcPr>
          <w:p w:rsidR="003743C4" w:rsidRPr="00F46676" w:rsidRDefault="003743C4" w:rsidP="00FB135D">
            <w:pPr>
              <w:rPr>
                <w:rFonts w:ascii="Arial" w:hAnsi="Arial" w:cs="Arial"/>
                <w:b/>
                <w:sz w:val="20"/>
                <w:szCs w:val="20"/>
              </w:rPr>
            </w:pPr>
            <w:r w:rsidRPr="00F46676">
              <w:rPr>
                <w:rFonts w:ascii="Arial" w:hAnsi="Arial" w:cs="Arial"/>
                <w:color w:val="000000"/>
                <w:sz w:val="20"/>
                <w:szCs w:val="20"/>
              </w:rPr>
              <w:t>Usually headteacher will recommend to the pay committee whether a teacher should receive zero, one or two pay points (if in policy) increase on its pay scale</w:t>
            </w:r>
          </w:p>
        </w:tc>
      </w:tr>
      <w:tr w:rsidR="003743C4" w:rsidRPr="00F46676" w:rsidTr="000B60D2">
        <w:trPr>
          <w:trHeight w:val="979"/>
        </w:trPr>
        <w:tc>
          <w:tcPr>
            <w:tcW w:w="5070" w:type="dxa"/>
            <w:vAlign w:val="center"/>
          </w:tcPr>
          <w:p w:rsidR="003743C4" w:rsidRPr="000F4D79" w:rsidRDefault="003743C4" w:rsidP="00FB135D">
            <w:pPr>
              <w:rPr>
                <w:rFonts w:ascii="Arial" w:hAnsi="Arial" w:cs="Arial"/>
                <w:sz w:val="20"/>
                <w:szCs w:val="20"/>
              </w:rPr>
            </w:pPr>
            <w:r w:rsidRPr="000F4D79">
              <w:rPr>
                <w:rFonts w:ascii="Arial" w:hAnsi="Arial" w:cs="Arial"/>
                <w:sz w:val="20"/>
                <w:szCs w:val="20"/>
              </w:rPr>
              <w:t xml:space="preserve"> Is the pay recommendation in line with </w:t>
            </w:r>
            <w:r w:rsidRPr="00B35FA0">
              <w:rPr>
                <w:rFonts w:ascii="Arial" w:hAnsi="Arial" w:cs="Arial"/>
                <w:b/>
                <w:sz w:val="20"/>
                <w:szCs w:val="20"/>
              </w:rPr>
              <w:t>school’s spending plan</w:t>
            </w:r>
            <w:r w:rsidRPr="000F4D79">
              <w:rPr>
                <w:rFonts w:ascii="Arial" w:hAnsi="Arial" w:cs="Arial"/>
                <w:sz w:val="20"/>
                <w:szCs w:val="20"/>
              </w:rPr>
              <w:t xml:space="preserve">? </w:t>
            </w:r>
          </w:p>
        </w:tc>
        <w:tc>
          <w:tcPr>
            <w:tcW w:w="2693" w:type="dxa"/>
          </w:tcPr>
          <w:p w:rsidR="003743C4" w:rsidRPr="00F46676" w:rsidRDefault="003743C4" w:rsidP="003743C4">
            <w:pPr>
              <w:jc w:val="center"/>
              <w:rPr>
                <w:rFonts w:ascii="Arial" w:hAnsi="Arial" w:cs="Arial"/>
                <w:b/>
                <w:sz w:val="20"/>
                <w:szCs w:val="20"/>
              </w:rPr>
            </w:pPr>
          </w:p>
        </w:tc>
        <w:tc>
          <w:tcPr>
            <w:tcW w:w="7087" w:type="dxa"/>
            <w:vAlign w:val="center"/>
          </w:tcPr>
          <w:p w:rsidR="00B80FC0" w:rsidRPr="00F46676" w:rsidRDefault="003743C4" w:rsidP="00FB135D">
            <w:pPr>
              <w:rPr>
                <w:rFonts w:ascii="Arial" w:hAnsi="Arial" w:cs="Arial"/>
                <w:sz w:val="20"/>
                <w:szCs w:val="20"/>
              </w:rPr>
            </w:pPr>
            <w:r w:rsidRPr="00F46676">
              <w:rPr>
                <w:rFonts w:ascii="Arial" w:hAnsi="Arial" w:cs="Arial"/>
                <w:sz w:val="20"/>
                <w:szCs w:val="20"/>
              </w:rPr>
              <w:t xml:space="preserve">Budget planning in advance key here - </w:t>
            </w:r>
            <w:r w:rsidRPr="00B35FA0">
              <w:rPr>
                <w:rFonts w:ascii="Arial" w:hAnsi="Arial" w:cs="Arial"/>
                <w:b/>
                <w:sz w:val="20"/>
                <w:szCs w:val="20"/>
              </w:rPr>
              <w:t>cannot</w:t>
            </w:r>
            <w:r w:rsidRPr="00F46676">
              <w:rPr>
                <w:rFonts w:ascii="Arial" w:hAnsi="Arial" w:cs="Arial"/>
                <w:sz w:val="20"/>
                <w:szCs w:val="20"/>
              </w:rPr>
              <w:t xml:space="preserve"> deny statutory and agreed pay progression on basis of lack of funds </w:t>
            </w:r>
          </w:p>
        </w:tc>
      </w:tr>
      <w:tr w:rsidR="00A71528" w:rsidRPr="00F46676" w:rsidTr="0036372C">
        <w:trPr>
          <w:trHeight w:val="666"/>
        </w:trPr>
        <w:tc>
          <w:tcPr>
            <w:tcW w:w="5070" w:type="dxa"/>
            <w:vAlign w:val="center"/>
          </w:tcPr>
          <w:p w:rsidR="00A71528" w:rsidRPr="000F4D79" w:rsidRDefault="00A71528" w:rsidP="00FB135D">
            <w:pPr>
              <w:rPr>
                <w:rFonts w:ascii="Arial" w:hAnsi="Arial" w:cs="Arial"/>
                <w:sz w:val="20"/>
                <w:szCs w:val="20"/>
              </w:rPr>
            </w:pPr>
            <w:r w:rsidRPr="000F4D79">
              <w:rPr>
                <w:rFonts w:ascii="Arial" w:hAnsi="Arial" w:cs="Arial"/>
                <w:sz w:val="20"/>
                <w:szCs w:val="20"/>
              </w:rPr>
              <w:t xml:space="preserve"> </w:t>
            </w:r>
            <w:r w:rsidRPr="00B35FA0">
              <w:rPr>
                <w:rFonts w:ascii="Arial" w:hAnsi="Arial" w:cs="Arial"/>
                <w:b/>
                <w:sz w:val="20"/>
                <w:szCs w:val="20"/>
              </w:rPr>
              <w:t>Monitor the outcomes</w:t>
            </w:r>
            <w:r w:rsidRPr="000F4D79">
              <w:rPr>
                <w:rFonts w:ascii="Arial" w:hAnsi="Arial" w:cs="Arial"/>
                <w:sz w:val="20"/>
                <w:szCs w:val="20"/>
              </w:rPr>
              <w:t xml:space="preserve"> of pay decisions</w:t>
            </w:r>
          </w:p>
        </w:tc>
        <w:tc>
          <w:tcPr>
            <w:tcW w:w="2693" w:type="dxa"/>
          </w:tcPr>
          <w:p w:rsidR="00A71528" w:rsidRPr="00F46676" w:rsidRDefault="00A71528" w:rsidP="00A71528">
            <w:pPr>
              <w:jc w:val="center"/>
              <w:rPr>
                <w:rFonts w:ascii="Arial" w:hAnsi="Arial" w:cs="Arial"/>
                <w:b/>
                <w:sz w:val="20"/>
                <w:szCs w:val="20"/>
              </w:rPr>
            </w:pPr>
          </w:p>
        </w:tc>
        <w:tc>
          <w:tcPr>
            <w:tcW w:w="7087" w:type="dxa"/>
            <w:vAlign w:val="center"/>
          </w:tcPr>
          <w:p w:rsidR="00A71528" w:rsidRPr="00F46676" w:rsidRDefault="00A71528" w:rsidP="00FB135D">
            <w:pPr>
              <w:rPr>
                <w:rFonts w:ascii="Arial" w:hAnsi="Arial" w:cs="Arial"/>
                <w:b/>
                <w:sz w:val="20"/>
                <w:szCs w:val="20"/>
              </w:rPr>
            </w:pPr>
            <w:r w:rsidRPr="00F46676">
              <w:rPr>
                <w:rFonts w:ascii="Arial" w:hAnsi="Arial" w:cs="Arial"/>
                <w:sz w:val="20"/>
                <w:szCs w:val="20"/>
              </w:rPr>
              <w:t>including the extent to which different groups of teachers may progress at different rates and check process operates fairly</w:t>
            </w:r>
          </w:p>
        </w:tc>
      </w:tr>
      <w:tr w:rsidR="00A71528" w:rsidRPr="00F46676" w:rsidTr="000B60D2">
        <w:trPr>
          <w:trHeight w:val="978"/>
        </w:trPr>
        <w:tc>
          <w:tcPr>
            <w:tcW w:w="5070" w:type="dxa"/>
            <w:vAlign w:val="center"/>
          </w:tcPr>
          <w:p w:rsidR="00A71528" w:rsidRPr="000F4D79" w:rsidRDefault="00A71528" w:rsidP="00FB135D">
            <w:pPr>
              <w:shd w:val="clear" w:color="auto" w:fill="FFFFFF"/>
              <w:spacing w:before="100" w:beforeAutospacing="1" w:after="100" w:afterAutospacing="1"/>
              <w:outlineLvl w:val="1"/>
              <w:rPr>
                <w:rFonts w:ascii="Arial" w:hAnsi="Arial" w:cs="Arial"/>
                <w:sz w:val="20"/>
                <w:szCs w:val="20"/>
              </w:rPr>
            </w:pPr>
            <w:r w:rsidRPr="000F4D79">
              <w:rPr>
                <w:rFonts w:ascii="Arial" w:eastAsia="Times New Roman" w:hAnsi="Arial" w:cs="Arial"/>
                <w:color w:val="000000"/>
                <w:sz w:val="20"/>
                <w:szCs w:val="20"/>
                <w:lang w:eastAsia="en-GB"/>
              </w:rPr>
              <w:t xml:space="preserve">Process for </w:t>
            </w:r>
            <w:r w:rsidRPr="00B35FA0">
              <w:rPr>
                <w:rFonts w:ascii="Arial" w:eastAsia="Times New Roman" w:hAnsi="Arial" w:cs="Arial"/>
                <w:b/>
                <w:color w:val="000000"/>
                <w:sz w:val="20"/>
                <w:szCs w:val="20"/>
                <w:lang w:eastAsia="en-GB"/>
              </w:rPr>
              <w:t>approving pay</w:t>
            </w:r>
            <w:r w:rsidRPr="000F4D79">
              <w:rPr>
                <w:rFonts w:ascii="Arial" w:eastAsia="Times New Roman" w:hAnsi="Arial" w:cs="Arial"/>
                <w:color w:val="000000"/>
                <w:sz w:val="20"/>
                <w:szCs w:val="20"/>
                <w:lang w:eastAsia="en-GB"/>
              </w:rPr>
              <w:t> should be set out in the pay policy</w:t>
            </w:r>
          </w:p>
        </w:tc>
        <w:tc>
          <w:tcPr>
            <w:tcW w:w="2693" w:type="dxa"/>
          </w:tcPr>
          <w:p w:rsidR="00A71528" w:rsidRPr="00F46676" w:rsidRDefault="00A71528" w:rsidP="003743C4">
            <w:pPr>
              <w:jc w:val="center"/>
              <w:rPr>
                <w:rFonts w:ascii="Arial" w:hAnsi="Arial" w:cs="Arial"/>
                <w:b/>
                <w:sz w:val="20"/>
                <w:szCs w:val="20"/>
              </w:rPr>
            </w:pPr>
          </w:p>
        </w:tc>
        <w:tc>
          <w:tcPr>
            <w:tcW w:w="7087" w:type="dxa"/>
          </w:tcPr>
          <w:p w:rsidR="00A71528" w:rsidRPr="00F46676" w:rsidRDefault="00A71528" w:rsidP="003743C4">
            <w:pPr>
              <w:jc w:val="center"/>
              <w:rPr>
                <w:rFonts w:ascii="Arial" w:hAnsi="Arial" w:cs="Arial"/>
                <w:b/>
                <w:sz w:val="20"/>
                <w:szCs w:val="20"/>
              </w:rPr>
            </w:pPr>
          </w:p>
        </w:tc>
      </w:tr>
      <w:tr w:rsidR="00A27D12" w:rsidRPr="00F46676" w:rsidTr="000B60D2">
        <w:trPr>
          <w:trHeight w:val="978"/>
        </w:trPr>
        <w:tc>
          <w:tcPr>
            <w:tcW w:w="5070" w:type="dxa"/>
            <w:vAlign w:val="center"/>
          </w:tcPr>
          <w:p w:rsidR="00A27D12" w:rsidRPr="000F4D79" w:rsidRDefault="00A27D12" w:rsidP="00A27D12">
            <w:pPr>
              <w:shd w:val="clear" w:color="auto" w:fill="FFFFFF"/>
              <w:spacing w:before="100" w:beforeAutospacing="1" w:after="100" w:afterAutospacing="1"/>
              <w:outlineLvl w:val="1"/>
              <w:rPr>
                <w:rFonts w:ascii="Arial" w:eastAsia="Times New Roman" w:hAnsi="Arial" w:cs="Arial"/>
                <w:color w:val="000000"/>
                <w:sz w:val="20"/>
                <w:szCs w:val="20"/>
                <w:lang w:eastAsia="en-GB"/>
              </w:rPr>
            </w:pPr>
            <w:r w:rsidRPr="000F4D79">
              <w:rPr>
                <w:rFonts w:ascii="Arial" w:eastAsia="Times New Roman" w:hAnsi="Arial" w:cs="Arial"/>
                <w:color w:val="000000"/>
                <w:sz w:val="20"/>
                <w:szCs w:val="20"/>
                <w:lang w:eastAsia="en-GB"/>
              </w:rPr>
              <w:t xml:space="preserve">Are all </w:t>
            </w:r>
            <w:r w:rsidRPr="00B35FA0">
              <w:rPr>
                <w:rFonts w:ascii="Arial" w:eastAsia="Times New Roman" w:hAnsi="Arial" w:cs="Arial"/>
                <w:b/>
                <w:color w:val="000000"/>
                <w:sz w:val="20"/>
                <w:szCs w:val="20"/>
                <w:lang w:eastAsia="en-GB"/>
              </w:rPr>
              <w:t>pay decisions minuted</w:t>
            </w:r>
            <w:r w:rsidRPr="000F4D79">
              <w:rPr>
                <w:rFonts w:ascii="Arial" w:eastAsia="Times New Roman" w:hAnsi="Arial" w:cs="Arial"/>
                <w:color w:val="000000"/>
                <w:sz w:val="20"/>
                <w:szCs w:val="20"/>
                <w:lang w:eastAsia="en-GB"/>
              </w:rPr>
              <w:t xml:space="preserve"> clearly showing their rationale </w:t>
            </w:r>
          </w:p>
        </w:tc>
        <w:tc>
          <w:tcPr>
            <w:tcW w:w="2693" w:type="dxa"/>
          </w:tcPr>
          <w:p w:rsidR="00A27D12" w:rsidRPr="00F46676" w:rsidRDefault="00A27D12" w:rsidP="003743C4">
            <w:pPr>
              <w:jc w:val="center"/>
              <w:rPr>
                <w:rFonts w:ascii="Arial" w:hAnsi="Arial" w:cs="Arial"/>
                <w:b/>
                <w:sz w:val="20"/>
                <w:szCs w:val="20"/>
              </w:rPr>
            </w:pPr>
          </w:p>
        </w:tc>
        <w:tc>
          <w:tcPr>
            <w:tcW w:w="7087" w:type="dxa"/>
          </w:tcPr>
          <w:p w:rsidR="00A27D12" w:rsidRPr="00F46676" w:rsidRDefault="00A27D12" w:rsidP="003743C4">
            <w:pPr>
              <w:jc w:val="center"/>
              <w:rPr>
                <w:rFonts w:ascii="Arial" w:hAnsi="Arial" w:cs="Arial"/>
                <w:b/>
                <w:sz w:val="20"/>
                <w:szCs w:val="20"/>
              </w:rPr>
            </w:pPr>
          </w:p>
        </w:tc>
      </w:tr>
    </w:tbl>
    <w:p w:rsidR="00313A22" w:rsidRPr="00F46676" w:rsidRDefault="00F46676" w:rsidP="006963A3">
      <w:pPr>
        <w:rPr>
          <w:rFonts w:ascii="Arial" w:hAnsi="Arial" w:cs="Arial"/>
          <w:b/>
          <w:sz w:val="24"/>
          <w:szCs w:val="24"/>
        </w:rPr>
      </w:pPr>
      <w:bookmarkStart w:id="0" w:name="_GoBack"/>
      <w:bookmarkEnd w:id="0"/>
      <w:r w:rsidRPr="00F46676">
        <w:rPr>
          <w:rFonts w:ascii="Arial" w:hAnsi="Arial" w:cs="Arial"/>
          <w:b/>
          <w:sz w:val="24"/>
          <w:szCs w:val="24"/>
        </w:rPr>
        <w:lastRenderedPageBreak/>
        <w:t>H</w:t>
      </w:r>
      <w:r w:rsidR="00313A22" w:rsidRPr="00F46676">
        <w:rPr>
          <w:rFonts w:ascii="Arial" w:hAnsi="Arial" w:cs="Arial"/>
          <w:b/>
          <w:sz w:val="24"/>
          <w:szCs w:val="24"/>
        </w:rPr>
        <w:t xml:space="preserve">eadteacher </w:t>
      </w:r>
      <w:r>
        <w:rPr>
          <w:rFonts w:ascii="Arial" w:hAnsi="Arial" w:cs="Arial"/>
          <w:b/>
          <w:sz w:val="24"/>
          <w:szCs w:val="24"/>
        </w:rPr>
        <w:t>A</w:t>
      </w:r>
      <w:r w:rsidR="00313A22" w:rsidRPr="00F46676">
        <w:rPr>
          <w:rFonts w:ascii="Arial" w:hAnsi="Arial" w:cs="Arial"/>
          <w:b/>
          <w:sz w:val="24"/>
          <w:szCs w:val="24"/>
        </w:rPr>
        <w:t xml:space="preserve">ppraisal </w:t>
      </w:r>
    </w:p>
    <w:tbl>
      <w:tblPr>
        <w:tblStyle w:val="TableGrid"/>
        <w:tblW w:w="14567" w:type="dxa"/>
        <w:tblLook w:val="04A0" w:firstRow="1" w:lastRow="0" w:firstColumn="1" w:lastColumn="0" w:noHBand="0" w:noVBand="1"/>
      </w:tblPr>
      <w:tblGrid>
        <w:gridCol w:w="5070"/>
        <w:gridCol w:w="2693"/>
        <w:gridCol w:w="6804"/>
      </w:tblGrid>
      <w:tr w:rsidR="00B80FC0" w:rsidRPr="00F46676" w:rsidTr="00B35FA0">
        <w:trPr>
          <w:trHeight w:val="710"/>
        </w:trPr>
        <w:tc>
          <w:tcPr>
            <w:tcW w:w="5070" w:type="dxa"/>
            <w:shd w:val="clear" w:color="auto" w:fill="D9D9D9" w:themeFill="background1" w:themeFillShade="D9"/>
            <w:vAlign w:val="center"/>
          </w:tcPr>
          <w:p w:rsidR="00B80FC0" w:rsidRPr="00B80FC0" w:rsidRDefault="00932664" w:rsidP="00A27D12">
            <w:pPr>
              <w:jc w:val="center"/>
              <w:rPr>
                <w:rFonts w:ascii="Arial" w:hAnsi="Arial" w:cs="Arial"/>
                <w:b/>
                <w:sz w:val="20"/>
                <w:szCs w:val="20"/>
              </w:rPr>
            </w:pPr>
            <w:r>
              <w:rPr>
                <w:rFonts w:ascii="Arial" w:hAnsi="Arial" w:cs="Arial"/>
                <w:b/>
                <w:sz w:val="20"/>
                <w:szCs w:val="20"/>
              </w:rPr>
              <w:t>HT Appraisal Panel</w:t>
            </w:r>
          </w:p>
        </w:tc>
        <w:tc>
          <w:tcPr>
            <w:tcW w:w="2693" w:type="dxa"/>
            <w:shd w:val="clear" w:color="auto" w:fill="D9D9D9" w:themeFill="background1" w:themeFillShade="D9"/>
            <w:vAlign w:val="center"/>
          </w:tcPr>
          <w:p w:rsidR="00B80FC0" w:rsidRPr="00B80FC0" w:rsidRDefault="00B80FC0" w:rsidP="00A27D12">
            <w:pPr>
              <w:jc w:val="center"/>
              <w:rPr>
                <w:rFonts w:ascii="Arial" w:hAnsi="Arial" w:cs="Arial"/>
                <w:b/>
              </w:rPr>
            </w:pPr>
            <w:r w:rsidRPr="00B80FC0">
              <w:rPr>
                <w:rFonts w:ascii="Arial" w:hAnsi="Arial" w:cs="Arial"/>
                <w:b/>
              </w:rPr>
              <w:t>In place/in progress/not in place</w:t>
            </w:r>
          </w:p>
        </w:tc>
        <w:tc>
          <w:tcPr>
            <w:tcW w:w="6804" w:type="dxa"/>
            <w:shd w:val="clear" w:color="auto" w:fill="D9D9D9" w:themeFill="background1" w:themeFillShade="D9"/>
            <w:vAlign w:val="center"/>
          </w:tcPr>
          <w:p w:rsidR="00B80FC0" w:rsidRPr="00B80FC0" w:rsidRDefault="00A27D12" w:rsidP="00A27D12">
            <w:pPr>
              <w:jc w:val="center"/>
              <w:rPr>
                <w:rFonts w:ascii="Arial" w:hAnsi="Arial" w:cs="Arial"/>
                <w:b/>
              </w:rPr>
            </w:pPr>
            <w:r>
              <w:rPr>
                <w:rFonts w:ascii="Arial" w:hAnsi="Arial" w:cs="Arial"/>
                <w:b/>
              </w:rPr>
              <w:t>C</w:t>
            </w:r>
            <w:r w:rsidR="00B80FC0" w:rsidRPr="00B80FC0">
              <w:rPr>
                <w:rFonts w:ascii="Arial" w:hAnsi="Arial" w:cs="Arial"/>
                <w:b/>
              </w:rPr>
              <w:t>omments/ Improvements/next steps</w:t>
            </w:r>
          </w:p>
        </w:tc>
      </w:tr>
      <w:tr w:rsidR="00B80FC0" w:rsidRPr="00F46676" w:rsidTr="00B35FA0">
        <w:trPr>
          <w:trHeight w:val="848"/>
        </w:trPr>
        <w:tc>
          <w:tcPr>
            <w:tcW w:w="5070" w:type="dxa"/>
            <w:vAlign w:val="center"/>
          </w:tcPr>
          <w:p w:rsidR="00B80FC0" w:rsidRPr="00B35FA0" w:rsidRDefault="00B80FC0" w:rsidP="00A27D12">
            <w:pPr>
              <w:rPr>
                <w:rFonts w:ascii="Arial" w:hAnsi="Arial" w:cs="Arial"/>
                <w:sz w:val="20"/>
                <w:szCs w:val="20"/>
              </w:rPr>
            </w:pPr>
            <w:r w:rsidRPr="00B35FA0">
              <w:rPr>
                <w:rFonts w:ascii="Arial" w:hAnsi="Arial" w:cs="Arial"/>
                <w:sz w:val="20"/>
                <w:szCs w:val="20"/>
              </w:rPr>
              <w:t xml:space="preserve">HT </w:t>
            </w:r>
            <w:r w:rsidRPr="00DA2FD3">
              <w:rPr>
                <w:rFonts w:ascii="Arial" w:hAnsi="Arial" w:cs="Arial"/>
                <w:b/>
                <w:sz w:val="20"/>
                <w:szCs w:val="20"/>
              </w:rPr>
              <w:t>appraisal panel</w:t>
            </w:r>
            <w:r w:rsidRPr="00B35FA0">
              <w:rPr>
                <w:rFonts w:ascii="Arial" w:hAnsi="Arial" w:cs="Arial"/>
                <w:sz w:val="20"/>
                <w:szCs w:val="20"/>
              </w:rPr>
              <w:t xml:space="preserve"> selected and trained </w:t>
            </w:r>
          </w:p>
        </w:tc>
        <w:tc>
          <w:tcPr>
            <w:tcW w:w="2693" w:type="dxa"/>
            <w:vAlign w:val="center"/>
          </w:tcPr>
          <w:p w:rsidR="00B80FC0" w:rsidRPr="00F46676" w:rsidRDefault="00B80FC0" w:rsidP="00A27D12">
            <w:pPr>
              <w:rPr>
                <w:rFonts w:ascii="Arial" w:hAnsi="Arial" w:cs="Arial"/>
                <w:sz w:val="20"/>
                <w:szCs w:val="20"/>
              </w:rPr>
            </w:pPr>
          </w:p>
        </w:tc>
        <w:tc>
          <w:tcPr>
            <w:tcW w:w="6804" w:type="dxa"/>
            <w:vAlign w:val="center"/>
          </w:tcPr>
          <w:p w:rsidR="00B80FC0" w:rsidRPr="00F46676" w:rsidRDefault="00A27D12" w:rsidP="00A27D12">
            <w:pPr>
              <w:rPr>
                <w:rFonts w:ascii="Arial" w:hAnsi="Arial" w:cs="Arial"/>
                <w:sz w:val="20"/>
                <w:szCs w:val="20"/>
              </w:rPr>
            </w:pPr>
            <w:r>
              <w:rPr>
                <w:rFonts w:ascii="Arial" w:hAnsi="Arial" w:cs="Arial"/>
                <w:sz w:val="20"/>
                <w:szCs w:val="20"/>
              </w:rPr>
              <w:t>GB must agree a panel</w:t>
            </w:r>
            <w:r w:rsidR="00B80FC0" w:rsidRPr="00F46676">
              <w:rPr>
                <w:rFonts w:ascii="Arial" w:hAnsi="Arial" w:cs="Arial"/>
                <w:sz w:val="20"/>
                <w:szCs w:val="20"/>
              </w:rPr>
              <w:t xml:space="preserve"> of 2</w:t>
            </w:r>
            <w:r w:rsidR="00797054">
              <w:rPr>
                <w:rFonts w:ascii="Arial" w:hAnsi="Arial" w:cs="Arial"/>
                <w:sz w:val="20"/>
                <w:szCs w:val="20"/>
              </w:rPr>
              <w:t xml:space="preserve"> </w:t>
            </w:r>
            <w:r w:rsidR="00721FA2">
              <w:rPr>
                <w:rFonts w:ascii="Arial" w:hAnsi="Arial" w:cs="Arial"/>
                <w:sz w:val="20"/>
                <w:szCs w:val="20"/>
              </w:rPr>
              <w:t xml:space="preserve">(minimum) </w:t>
            </w:r>
            <w:r>
              <w:rPr>
                <w:rFonts w:ascii="Arial" w:hAnsi="Arial" w:cs="Arial"/>
                <w:sz w:val="20"/>
                <w:szCs w:val="20"/>
              </w:rPr>
              <w:t xml:space="preserve">or </w:t>
            </w:r>
            <w:r w:rsidR="00B35FA0">
              <w:rPr>
                <w:rFonts w:ascii="Arial" w:hAnsi="Arial" w:cs="Arial"/>
                <w:sz w:val="20"/>
                <w:szCs w:val="20"/>
              </w:rPr>
              <w:t>3 governors. This should be done i</w:t>
            </w:r>
            <w:r w:rsidR="00DA2FD3">
              <w:rPr>
                <w:rFonts w:ascii="Arial" w:hAnsi="Arial" w:cs="Arial"/>
                <w:sz w:val="20"/>
                <w:szCs w:val="20"/>
              </w:rPr>
              <w:t xml:space="preserve">n the summer term at the latest. All members must be suitably trained and have knowledge of all relevant documents e.g. pay and appraisal policies, HT job description, SIP and SEF, previous performance objectives, HT standards </w:t>
            </w:r>
            <w:proofErr w:type="spellStart"/>
            <w:r w:rsidR="00DA2FD3">
              <w:rPr>
                <w:rFonts w:ascii="Arial" w:hAnsi="Arial" w:cs="Arial"/>
                <w:sz w:val="20"/>
                <w:szCs w:val="20"/>
              </w:rPr>
              <w:t>etc</w:t>
            </w:r>
            <w:proofErr w:type="spellEnd"/>
            <w:r w:rsidR="00DA2FD3">
              <w:rPr>
                <w:rFonts w:ascii="Arial" w:hAnsi="Arial" w:cs="Arial"/>
                <w:sz w:val="20"/>
                <w:szCs w:val="20"/>
              </w:rPr>
              <w:t xml:space="preserve"> </w:t>
            </w:r>
          </w:p>
        </w:tc>
      </w:tr>
      <w:tr w:rsidR="00797054" w:rsidRPr="00F46676" w:rsidTr="00B35FA0">
        <w:trPr>
          <w:trHeight w:val="848"/>
        </w:trPr>
        <w:tc>
          <w:tcPr>
            <w:tcW w:w="5070" w:type="dxa"/>
            <w:vAlign w:val="center"/>
          </w:tcPr>
          <w:p w:rsidR="00797054" w:rsidRPr="00B35FA0" w:rsidRDefault="00797054" w:rsidP="00797054">
            <w:pPr>
              <w:rPr>
                <w:rFonts w:ascii="Arial" w:hAnsi="Arial" w:cs="Arial"/>
                <w:sz w:val="20"/>
                <w:szCs w:val="20"/>
              </w:rPr>
            </w:pPr>
            <w:r w:rsidRPr="00B35FA0">
              <w:rPr>
                <w:rFonts w:ascii="Arial" w:hAnsi="Arial" w:cs="Arial"/>
                <w:sz w:val="20"/>
                <w:szCs w:val="20"/>
              </w:rPr>
              <w:t xml:space="preserve">An </w:t>
            </w:r>
            <w:r w:rsidRPr="00DA2FD3">
              <w:rPr>
                <w:rFonts w:ascii="Arial" w:hAnsi="Arial" w:cs="Arial"/>
                <w:b/>
                <w:sz w:val="20"/>
                <w:szCs w:val="20"/>
              </w:rPr>
              <w:t>External Adviser</w:t>
            </w:r>
            <w:r w:rsidRPr="00B35FA0">
              <w:rPr>
                <w:rFonts w:ascii="Arial" w:hAnsi="Arial" w:cs="Arial"/>
                <w:sz w:val="20"/>
                <w:szCs w:val="20"/>
              </w:rPr>
              <w:t xml:space="preserve"> has been </w:t>
            </w:r>
            <w:r w:rsidR="00721FA2" w:rsidRPr="00B35FA0">
              <w:rPr>
                <w:rFonts w:ascii="Arial" w:hAnsi="Arial" w:cs="Arial"/>
                <w:sz w:val="20"/>
                <w:szCs w:val="20"/>
              </w:rPr>
              <w:t xml:space="preserve">selected and </w:t>
            </w:r>
            <w:r w:rsidRPr="00B35FA0">
              <w:rPr>
                <w:rFonts w:ascii="Arial" w:hAnsi="Arial" w:cs="Arial"/>
                <w:sz w:val="20"/>
                <w:szCs w:val="20"/>
              </w:rPr>
              <w:t>appointed</w:t>
            </w:r>
          </w:p>
        </w:tc>
        <w:tc>
          <w:tcPr>
            <w:tcW w:w="2693" w:type="dxa"/>
            <w:vAlign w:val="center"/>
          </w:tcPr>
          <w:p w:rsidR="00797054" w:rsidRPr="00F46676" w:rsidRDefault="00797054" w:rsidP="00A27D12">
            <w:pPr>
              <w:rPr>
                <w:rFonts w:ascii="Arial" w:hAnsi="Arial" w:cs="Arial"/>
                <w:sz w:val="20"/>
                <w:szCs w:val="20"/>
              </w:rPr>
            </w:pPr>
          </w:p>
        </w:tc>
        <w:tc>
          <w:tcPr>
            <w:tcW w:w="6804" w:type="dxa"/>
            <w:vAlign w:val="center"/>
          </w:tcPr>
          <w:p w:rsidR="00797054" w:rsidRDefault="00797054" w:rsidP="00A27D12">
            <w:pPr>
              <w:rPr>
                <w:rFonts w:ascii="Arial" w:hAnsi="Arial" w:cs="Arial"/>
                <w:sz w:val="20"/>
                <w:szCs w:val="20"/>
              </w:rPr>
            </w:pPr>
            <w:r>
              <w:rPr>
                <w:rFonts w:ascii="Arial" w:hAnsi="Arial" w:cs="Arial"/>
                <w:sz w:val="20"/>
                <w:szCs w:val="20"/>
              </w:rPr>
              <w:t>GB responsibility</w:t>
            </w:r>
            <w:r w:rsidR="00B35FA0">
              <w:rPr>
                <w:rFonts w:ascii="Arial" w:hAnsi="Arial" w:cs="Arial"/>
                <w:sz w:val="20"/>
                <w:szCs w:val="20"/>
              </w:rPr>
              <w:t xml:space="preserve"> – again finalised in the summer term latest.</w:t>
            </w:r>
          </w:p>
        </w:tc>
      </w:tr>
      <w:tr w:rsidR="00B80FC0" w:rsidRPr="00F46676" w:rsidTr="00B35FA0">
        <w:trPr>
          <w:trHeight w:val="1113"/>
        </w:trPr>
        <w:tc>
          <w:tcPr>
            <w:tcW w:w="5070" w:type="dxa"/>
            <w:vAlign w:val="center"/>
          </w:tcPr>
          <w:p w:rsidR="00B80FC0" w:rsidRPr="00B35FA0" w:rsidRDefault="00B80FC0" w:rsidP="00797054">
            <w:pPr>
              <w:rPr>
                <w:rFonts w:ascii="Arial" w:hAnsi="Arial" w:cs="Arial"/>
                <w:sz w:val="20"/>
                <w:szCs w:val="20"/>
              </w:rPr>
            </w:pPr>
            <w:r w:rsidRPr="00B35FA0">
              <w:rPr>
                <w:rFonts w:ascii="Arial" w:hAnsi="Arial" w:cs="Arial"/>
                <w:sz w:val="20"/>
                <w:szCs w:val="20"/>
              </w:rPr>
              <w:t xml:space="preserve">HT  </w:t>
            </w:r>
            <w:r w:rsidRPr="00DA2FD3">
              <w:rPr>
                <w:rFonts w:ascii="Arial" w:hAnsi="Arial" w:cs="Arial"/>
                <w:b/>
                <w:sz w:val="20"/>
                <w:szCs w:val="20"/>
              </w:rPr>
              <w:t xml:space="preserve">appraisal panel have met with </w:t>
            </w:r>
            <w:r w:rsidR="00797054" w:rsidRPr="00DA2FD3">
              <w:rPr>
                <w:rFonts w:ascii="Arial" w:hAnsi="Arial" w:cs="Arial"/>
                <w:b/>
                <w:sz w:val="20"/>
                <w:szCs w:val="20"/>
              </w:rPr>
              <w:t xml:space="preserve">the HT and </w:t>
            </w:r>
            <w:r w:rsidRPr="00DA2FD3">
              <w:rPr>
                <w:rFonts w:ascii="Arial" w:hAnsi="Arial" w:cs="Arial"/>
                <w:b/>
                <w:sz w:val="20"/>
                <w:szCs w:val="20"/>
              </w:rPr>
              <w:t xml:space="preserve">external reviewer </w:t>
            </w:r>
            <w:r w:rsidR="00797054" w:rsidRPr="00B35FA0">
              <w:rPr>
                <w:rFonts w:ascii="Arial" w:hAnsi="Arial" w:cs="Arial"/>
                <w:sz w:val="20"/>
                <w:szCs w:val="20"/>
              </w:rPr>
              <w:t>to review HT performance against last year’s objectives and to agree new objectives</w:t>
            </w:r>
            <w:r w:rsidRPr="00B35FA0">
              <w:rPr>
                <w:rFonts w:ascii="Arial" w:hAnsi="Arial" w:cs="Arial"/>
                <w:sz w:val="20"/>
                <w:szCs w:val="20"/>
              </w:rPr>
              <w:t xml:space="preserve"> </w:t>
            </w:r>
          </w:p>
        </w:tc>
        <w:tc>
          <w:tcPr>
            <w:tcW w:w="2693" w:type="dxa"/>
            <w:vAlign w:val="center"/>
          </w:tcPr>
          <w:p w:rsidR="00B80FC0" w:rsidRPr="00F46676" w:rsidRDefault="00B80FC0" w:rsidP="00A27D12">
            <w:pPr>
              <w:rPr>
                <w:rFonts w:ascii="Arial" w:hAnsi="Arial" w:cs="Arial"/>
                <w:sz w:val="20"/>
                <w:szCs w:val="20"/>
              </w:rPr>
            </w:pPr>
          </w:p>
        </w:tc>
        <w:tc>
          <w:tcPr>
            <w:tcW w:w="6804" w:type="dxa"/>
            <w:vAlign w:val="center"/>
          </w:tcPr>
          <w:p w:rsidR="00B35FA0" w:rsidRDefault="00B35FA0" w:rsidP="00B35FA0">
            <w:pPr>
              <w:rPr>
                <w:rFonts w:ascii="Arial" w:hAnsi="Arial" w:cs="Arial"/>
                <w:sz w:val="20"/>
                <w:szCs w:val="20"/>
              </w:rPr>
            </w:pPr>
            <w:r>
              <w:rPr>
                <w:rFonts w:ascii="Arial" w:hAnsi="Arial" w:cs="Arial"/>
                <w:sz w:val="20"/>
                <w:szCs w:val="20"/>
              </w:rPr>
              <w:t xml:space="preserve">We </w:t>
            </w:r>
            <w:r w:rsidRPr="00F46676">
              <w:rPr>
                <w:rFonts w:ascii="Arial" w:hAnsi="Arial" w:cs="Arial"/>
                <w:sz w:val="20"/>
                <w:szCs w:val="20"/>
              </w:rPr>
              <w:t xml:space="preserve">recommend HT appraisal takes place before teacher </w:t>
            </w:r>
            <w:proofErr w:type="gramStart"/>
            <w:r w:rsidRPr="00F46676">
              <w:rPr>
                <w:rFonts w:ascii="Arial" w:hAnsi="Arial" w:cs="Arial"/>
                <w:sz w:val="20"/>
                <w:szCs w:val="20"/>
              </w:rPr>
              <w:t>appraisals  (</w:t>
            </w:r>
            <w:proofErr w:type="gramEnd"/>
            <w:r w:rsidRPr="00F46676">
              <w:rPr>
                <w:rFonts w:ascii="Arial" w:hAnsi="Arial" w:cs="Arial"/>
                <w:sz w:val="20"/>
                <w:szCs w:val="20"/>
              </w:rPr>
              <w:t>summer or very early autumn</w:t>
            </w:r>
            <w:r>
              <w:rPr>
                <w:rFonts w:ascii="Arial" w:hAnsi="Arial" w:cs="Arial"/>
                <w:sz w:val="20"/>
                <w:szCs w:val="20"/>
              </w:rPr>
              <w:t xml:space="preserve">. HT objectives should form the basis of the type of targets set for teachers linked to the school priorities and job roles. </w:t>
            </w:r>
          </w:p>
          <w:p w:rsidR="00B35FA0" w:rsidRDefault="00B35FA0" w:rsidP="00B35FA0">
            <w:pPr>
              <w:rPr>
                <w:rFonts w:ascii="Arial" w:hAnsi="Arial" w:cs="Arial"/>
                <w:sz w:val="20"/>
                <w:szCs w:val="20"/>
              </w:rPr>
            </w:pPr>
          </w:p>
          <w:p w:rsidR="00B80FC0" w:rsidRPr="00F46676" w:rsidRDefault="00B80FC0" w:rsidP="00B35FA0">
            <w:pPr>
              <w:rPr>
                <w:rFonts w:ascii="Arial" w:hAnsi="Arial" w:cs="Arial"/>
                <w:sz w:val="20"/>
                <w:szCs w:val="20"/>
              </w:rPr>
            </w:pPr>
            <w:r w:rsidRPr="00F46676">
              <w:rPr>
                <w:rFonts w:ascii="Arial" w:hAnsi="Arial" w:cs="Arial"/>
                <w:sz w:val="20"/>
                <w:szCs w:val="20"/>
              </w:rPr>
              <w:t>Ensure HT is informed of process</w:t>
            </w:r>
            <w:r w:rsidR="00B35FA0">
              <w:rPr>
                <w:rFonts w:ascii="Arial" w:hAnsi="Arial" w:cs="Arial"/>
                <w:sz w:val="20"/>
                <w:szCs w:val="20"/>
              </w:rPr>
              <w:t>, dates</w:t>
            </w:r>
            <w:r w:rsidRPr="00F46676">
              <w:rPr>
                <w:rFonts w:ascii="Arial" w:hAnsi="Arial" w:cs="Arial"/>
                <w:sz w:val="20"/>
                <w:szCs w:val="20"/>
              </w:rPr>
              <w:t xml:space="preserve"> and standards </w:t>
            </w:r>
            <w:r w:rsidR="00B35FA0">
              <w:rPr>
                <w:rFonts w:ascii="Arial" w:hAnsi="Arial" w:cs="Arial"/>
                <w:sz w:val="20"/>
                <w:szCs w:val="20"/>
              </w:rPr>
              <w:t xml:space="preserve">they </w:t>
            </w:r>
            <w:r w:rsidRPr="00F46676">
              <w:rPr>
                <w:rFonts w:ascii="Arial" w:hAnsi="Arial" w:cs="Arial"/>
                <w:sz w:val="20"/>
                <w:szCs w:val="20"/>
              </w:rPr>
              <w:t xml:space="preserve">will be assessed against when objectives and </w:t>
            </w:r>
            <w:r w:rsidR="00B35FA0">
              <w:rPr>
                <w:rFonts w:ascii="Arial" w:hAnsi="Arial" w:cs="Arial"/>
                <w:sz w:val="20"/>
                <w:szCs w:val="20"/>
              </w:rPr>
              <w:t xml:space="preserve">success criteria/evidence </w:t>
            </w:r>
            <w:r w:rsidRPr="00F46676">
              <w:rPr>
                <w:rFonts w:ascii="Arial" w:hAnsi="Arial" w:cs="Arial"/>
                <w:sz w:val="20"/>
                <w:szCs w:val="20"/>
              </w:rPr>
              <w:t>set</w:t>
            </w:r>
            <w:r w:rsidR="00B35FA0">
              <w:rPr>
                <w:rFonts w:ascii="Arial" w:hAnsi="Arial" w:cs="Arial"/>
                <w:sz w:val="20"/>
                <w:szCs w:val="20"/>
              </w:rPr>
              <w:t xml:space="preserve">. </w:t>
            </w:r>
          </w:p>
        </w:tc>
      </w:tr>
      <w:tr w:rsidR="00797054" w:rsidRPr="00F46676" w:rsidTr="00B35FA0">
        <w:trPr>
          <w:trHeight w:val="974"/>
        </w:trPr>
        <w:tc>
          <w:tcPr>
            <w:tcW w:w="5070" w:type="dxa"/>
            <w:vAlign w:val="center"/>
          </w:tcPr>
          <w:p w:rsidR="00797054" w:rsidRPr="00B35FA0" w:rsidRDefault="00797054" w:rsidP="00797054">
            <w:pPr>
              <w:rPr>
                <w:rFonts w:ascii="Arial" w:hAnsi="Arial" w:cs="Arial"/>
                <w:sz w:val="20"/>
                <w:szCs w:val="20"/>
              </w:rPr>
            </w:pPr>
            <w:r w:rsidRPr="00B35FA0">
              <w:rPr>
                <w:rFonts w:ascii="Arial" w:hAnsi="Arial" w:cs="Arial"/>
                <w:sz w:val="20"/>
                <w:szCs w:val="20"/>
              </w:rPr>
              <w:t xml:space="preserve">HT appraisal panel has agreed </w:t>
            </w:r>
            <w:r w:rsidRPr="00DA2FD3">
              <w:rPr>
                <w:rFonts w:ascii="Arial" w:hAnsi="Arial" w:cs="Arial"/>
                <w:b/>
                <w:sz w:val="20"/>
                <w:szCs w:val="20"/>
              </w:rPr>
              <w:t>HT pay</w:t>
            </w:r>
            <w:r w:rsidRPr="00B35FA0">
              <w:rPr>
                <w:rFonts w:ascii="Arial" w:hAnsi="Arial" w:cs="Arial"/>
                <w:sz w:val="20"/>
                <w:szCs w:val="20"/>
              </w:rPr>
              <w:t xml:space="preserve"> recommendation</w:t>
            </w:r>
          </w:p>
        </w:tc>
        <w:tc>
          <w:tcPr>
            <w:tcW w:w="2693" w:type="dxa"/>
            <w:vAlign w:val="center"/>
          </w:tcPr>
          <w:p w:rsidR="00797054" w:rsidRPr="00F46676" w:rsidRDefault="00797054" w:rsidP="00A27D12">
            <w:pPr>
              <w:rPr>
                <w:rFonts w:ascii="Arial" w:hAnsi="Arial" w:cs="Arial"/>
                <w:sz w:val="20"/>
                <w:szCs w:val="20"/>
              </w:rPr>
            </w:pPr>
          </w:p>
        </w:tc>
        <w:tc>
          <w:tcPr>
            <w:tcW w:w="6804" w:type="dxa"/>
            <w:vAlign w:val="center"/>
          </w:tcPr>
          <w:p w:rsidR="00B35FA0" w:rsidRDefault="00C96C76" w:rsidP="00B35FA0">
            <w:pPr>
              <w:rPr>
                <w:rFonts w:ascii="Arial" w:hAnsi="Arial" w:cs="Arial"/>
                <w:sz w:val="20"/>
                <w:szCs w:val="20"/>
              </w:rPr>
            </w:pPr>
            <w:r w:rsidRPr="00C96C76">
              <w:rPr>
                <w:rFonts w:ascii="Arial" w:hAnsi="Arial" w:cs="Arial"/>
                <w:bCs/>
                <w:color w:val="000000"/>
                <w:sz w:val="20"/>
                <w:szCs w:val="20"/>
              </w:rPr>
              <w:t xml:space="preserve">The appraisal period </w:t>
            </w:r>
            <w:r>
              <w:rPr>
                <w:rFonts w:ascii="Arial" w:hAnsi="Arial" w:cs="Arial"/>
                <w:bCs/>
                <w:color w:val="000000"/>
                <w:sz w:val="20"/>
                <w:szCs w:val="20"/>
              </w:rPr>
              <w:t>r</w:t>
            </w:r>
            <w:r w:rsidRPr="00C96C76">
              <w:rPr>
                <w:rFonts w:ascii="Arial" w:hAnsi="Arial" w:cs="Arial"/>
                <w:bCs/>
                <w:color w:val="000000"/>
                <w:sz w:val="20"/>
                <w:szCs w:val="20"/>
              </w:rPr>
              <w:t>u</w:t>
            </w:r>
            <w:r>
              <w:rPr>
                <w:rFonts w:ascii="Arial" w:hAnsi="Arial" w:cs="Arial"/>
                <w:bCs/>
                <w:color w:val="000000"/>
                <w:sz w:val="20"/>
                <w:szCs w:val="20"/>
              </w:rPr>
              <w:t>ns</w:t>
            </w:r>
            <w:r w:rsidRPr="00C96C76">
              <w:rPr>
                <w:rFonts w:ascii="Arial" w:hAnsi="Arial" w:cs="Arial"/>
                <w:bCs/>
                <w:color w:val="000000"/>
                <w:sz w:val="20"/>
                <w:szCs w:val="20"/>
              </w:rPr>
              <w:t xml:space="preserve"> for twelve months. </w:t>
            </w:r>
            <w:r>
              <w:rPr>
                <w:rFonts w:ascii="Arial" w:hAnsi="Arial" w:cs="Arial"/>
                <w:bCs/>
                <w:color w:val="000000"/>
                <w:sz w:val="20"/>
                <w:szCs w:val="20"/>
              </w:rPr>
              <w:t xml:space="preserve">The Regulations </w:t>
            </w:r>
            <w:r w:rsidRPr="00C96C76">
              <w:rPr>
                <w:rFonts w:ascii="Arial" w:hAnsi="Arial" w:cs="Arial"/>
                <w:bCs/>
                <w:color w:val="000000"/>
                <w:sz w:val="20"/>
                <w:szCs w:val="20"/>
              </w:rPr>
              <w:t xml:space="preserve">no longer state </w:t>
            </w:r>
            <w:r w:rsidR="00B35FA0">
              <w:rPr>
                <w:rFonts w:ascii="Arial" w:hAnsi="Arial" w:cs="Arial"/>
                <w:bCs/>
                <w:color w:val="000000"/>
                <w:sz w:val="20"/>
                <w:szCs w:val="20"/>
              </w:rPr>
              <w:t xml:space="preserve">appraisal cycle </w:t>
            </w:r>
            <w:r w:rsidRPr="00C96C76">
              <w:rPr>
                <w:rFonts w:ascii="Arial" w:hAnsi="Arial" w:cs="Arial"/>
                <w:bCs/>
                <w:color w:val="000000"/>
                <w:sz w:val="20"/>
                <w:szCs w:val="20"/>
              </w:rPr>
              <w:t>dates</w:t>
            </w:r>
            <w:r w:rsidR="00B35FA0">
              <w:rPr>
                <w:rFonts w:ascii="Arial" w:hAnsi="Arial" w:cs="Arial"/>
                <w:bCs/>
                <w:color w:val="000000"/>
                <w:sz w:val="20"/>
                <w:szCs w:val="20"/>
              </w:rPr>
              <w:t xml:space="preserve"> just pay decision dates. </w:t>
            </w:r>
            <w:r w:rsidR="00797054" w:rsidRPr="00F46676">
              <w:rPr>
                <w:rFonts w:ascii="Arial" w:hAnsi="Arial" w:cs="Arial"/>
                <w:sz w:val="20"/>
                <w:szCs w:val="20"/>
              </w:rPr>
              <w:t>Pay decision by 31</w:t>
            </w:r>
            <w:r w:rsidR="00797054" w:rsidRPr="00F46676">
              <w:rPr>
                <w:rFonts w:ascii="Arial" w:hAnsi="Arial" w:cs="Arial"/>
                <w:sz w:val="20"/>
                <w:szCs w:val="20"/>
                <w:vertAlign w:val="superscript"/>
              </w:rPr>
              <w:t>st</w:t>
            </w:r>
            <w:r>
              <w:rPr>
                <w:rFonts w:ascii="Arial" w:hAnsi="Arial" w:cs="Arial"/>
                <w:sz w:val="20"/>
                <w:szCs w:val="20"/>
              </w:rPr>
              <w:t xml:space="preserve"> December. </w:t>
            </w:r>
          </w:p>
          <w:p w:rsidR="00B35FA0" w:rsidRDefault="00B35FA0" w:rsidP="00B35FA0">
            <w:pPr>
              <w:rPr>
                <w:rFonts w:ascii="Arial" w:hAnsi="Arial" w:cs="Arial"/>
                <w:sz w:val="20"/>
                <w:szCs w:val="20"/>
              </w:rPr>
            </w:pPr>
          </w:p>
          <w:p w:rsidR="00797054" w:rsidRPr="00F46676" w:rsidRDefault="00B35FA0" w:rsidP="00B35FA0">
            <w:pPr>
              <w:rPr>
                <w:rFonts w:ascii="Arial" w:hAnsi="Arial" w:cs="Arial"/>
                <w:sz w:val="20"/>
                <w:szCs w:val="20"/>
              </w:rPr>
            </w:pPr>
            <w:r>
              <w:rPr>
                <w:rFonts w:ascii="Arial" w:hAnsi="Arial" w:cs="Arial"/>
                <w:sz w:val="20"/>
                <w:szCs w:val="20"/>
              </w:rPr>
              <w:t xml:space="preserve">Advice about HT pay should be sought before appraisal meetings from HR. It should be clear at the outset what pay implications are if the </w:t>
            </w:r>
            <w:r w:rsidR="0036372C">
              <w:rPr>
                <w:rFonts w:ascii="Arial" w:hAnsi="Arial" w:cs="Arial"/>
                <w:sz w:val="20"/>
                <w:szCs w:val="20"/>
              </w:rPr>
              <w:t>H</w:t>
            </w:r>
            <w:r>
              <w:rPr>
                <w:rFonts w:ascii="Arial" w:hAnsi="Arial" w:cs="Arial"/>
                <w:sz w:val="20"/>
                <w:szCs w:val="20"/>
              </w:rPr>
              <w:t xml:space="preserve">T is successful in meeting their objectives at the end of the review period.  </w:t>
            </w:r>
          </w:p>
        </w:tc>
      </w:tr>
      <w:tr w:rsidR="00B80FC0" w:rsidRPr="00F46676" w:rsidTr="00B35FA0">
        <w:trPr>
          <w:trHeight w:val="974"/>
        </w:trPr>
        <w:tc>
          <w:tcPr>
            <w:tcW w:w="5070" w:type="dxa"/>
            <w:vAlign w:val="center"/>
          </w:tcPr>
          <w:p w:rsidR="00B80FC0" w:rsidRPr="00B35FA0" w:rsidRDefault="00B80FC0" w:rsidP="00A27D12">
            <w:pPr>
              <w:rPr>
                <w:rFonts w:ascii="Arial" w:hAnsi="Arial" w:cs="Arial"/>
                <w:sz w:val="20"/>
                <w:szCs w:val="20"/>
              </w:rPr>
            </w:pPr>
            <w:r w:rsidRPr="00B35FA0">
              <w:rPr>
                <w:rFonts w:ascii="Arial" w:hAnsi="Arial" w:cs="Arial"/>
                <w:sz w:val="20"/>
                <w:szCs w:val="20"/>
              </w:rPr>
              <w:t>HT appraisal completed.</w:t>
            </w:r>
          </w:p>
        </w:tc>
        <w:tc>
          <w:tcPr>
            <w:tcW w:w="2693" w:type="dxa"/>
            <w:vAlign w:val="center"/>
          </w:tcPr>
          <w:p w:rsidR="00B80FC0" w:rsidRPr="00F46676" w:rsidRDefault="00B80FC0" w:rsidP="00A27D12">
            <w:pPr>
              <w:rPr>
                <w:rFonts w:ascii="Arial" w:hAnsi="Arial" w:cs="Arial"/>
                <w:sz w:val="20"/>
                <w:szCs w:val="20"/>
              </w:rPr>
            </w:pPr>
          </w:p>
        </w:tc>
        <w:tc>
          <w:tcPr>
            <w:tcW w:w="6804" w:type="dxa"/>
            <w:vAlign w:val="center"/>
          </w:tcPr>
          <w:p w:rsidR="00B80FC0" w:rsidRPr="00F46676" w:rsidRDefault="00B80FC0" w:rsidP="00DA2FD3">
            <w:pPr>
              <w:rPr>
                <w:rFonts w:ascii="Arial" w:hAnsi="Arial" w:cs="Arial"/>
                <w:sz w:val="20"/>
                <w:szCs w:val="20"/>
              </w:rPr>
            </w:pPr>
            <w:r w:rsidRPr="00F46676">
              <w:rPr>
                <w:rFonts w:ascii="Arial" w:hAnsi="Arial" w:cs="Arial"/>
                <w:sz w:val="20"/>
                <w:szCs w:val="20"/>
              </w:rPr>
              <w:t>HT has written report of agreed objectives etc.</w:t>
            </w:r>
            <w:r w:rsidR="00DA2FD3">
              <w:rPr>
                <w:rFonts w:ascii="Arial" w:hAnsi="Arial" w:cs="Arial"/>
                <w:sz w:val="20"/>
                <w:szCs w:val="20"/>
              </w:rPr>
              <w:t xml:space="preserve"> which have been agreed. CPD needs linked to appraisal objectives and school priorities should be included also</w:t>
            </w:r>
          </w:p>
        </w:tc>
      </w:tr>
      <w:tr w:rsidR="00B80FC0" w:rsidRPr="00F46676" w:rsidTr="00B35FA0">
        <w:trPr>
          <w:trHeight w:val="978"/>
        </w:trPr>
        <w:tc>
          <w:tcPr>
            <w:tcW w:w="5070" w:type="dxa"/>
            <w:vAlign w:val="center"/>
          </w:tcPr>
          <w:p w:rsidR="00B80FC0" w:rsidRPr="00B35FA0" w:rsidRDefault="00797054" w:rsidP="00797054">
            <w:pPr>
              <w:rPr>
                <w:rFonts w:ascii="Arial" w:hAnsi="Arial" w:cs="Arial"/>
                <w:i/>
                <w:sz w:val="20"/>
                <w:szCs w:val="20"/>
              </w:rPr>
            </w:pPr>
            <w:r w:rsidRPr="00B35FA0">
              <w:rPr>
                <w:rFonts w:ascii="Arial" w:hAnsi="Arial" w:cs="Arial"/>
                <w:sz w:val="20"/>
                <w:szCs w:val="20"/>
              </w:rPr>
              <w:t xml:space="preserve">In-year </w:t>
            </w:r>
            <w:r w:rsidRPr="00DA2FD3">
              <w:rPr>
                <w:rFonts w:ascii="Arial" w:hAnsi="Arial" w:cs="Arial"/>
                <w:b/>
                <w:sz w:val="20"/>
                <w:szCs w:val="20"/>
              </w:rPr>
              <w:t>m</w:t>
            </w:r>
            <w:r w:rsidR="00B80FC0" w:rsidRPr="00DA2FD3">
              <w:rPr>
                <w:rFonts w:ascii="Arial" w:hAnsi="Arial" w:cs="Arial"/>
                <w:b/>
                <w:sz w:val="20"/>
                <w:szCs w:val="20"/>
              </w:rPr>
              <w:t>onitoring</w:t>
            </w:r>
            <w:r w:rsidR="00B80FC0" w:rsidRPr="00B35FA0">
              <w:rPr>
                <w:rFonts w:ascii="Arial" w:hAnsi="Arial" w:cs="Arial"/>
                <w:sz w:val="20"/>
                <w:szCs w:val="20"/>
              </w:rPr>
              <w:t xml:space="preserve"> of HT performance /impact on regular basis </w:t>
            </w:r>
            <w:r w:rsidR="00721FA2" w:rsidRPr="00B35FA0">
              <w:rPr>
                <w:rFonts w:ascii="Arial" w:hAnsi="Arial" w:cs="Arial"/>
                <w:sz w:val="20"/>
                <w:szCs w:val="20"/>
              </w:rPr>
              <w:t>(rec termly)</w:t>
            </w:r>
          </w:p>
        </w:tc>
        <w:tc>
          <w:tcPr>
            <w:tcW w:w="2693" w:type="dxa"/>
            <w:vAlign w:val="center"/>
          </w:tcPr>
          <w:p w:rsidR="00B80FC0" w:rsidRPr="00F46676" w:rsidRDefault="00B80FC0" w:rsidP="00A27D12">
            <w:pPr>
              <w:rPr>
                <w:rFonts w:ascii="Arial" w:hAnsi="Arial" w:cs="Arial"/>
                <w:sz w:val="20"/>
                <w:szCs w:val="20"/>
              </w:rPr>
            </w:pPr>
          </w:p>
        </w:tc>
        <w:tc>
          <w:tcPr>
            <w:tcW w:w="6804" w:type="dxa"/>
            <w:vAlign w:val="center"/>
          </w:tcPr>
          <w:p w:rsidR="00B80FC0" w:rsidRPr="00F46676" w:rsidRDefault="00797054" w:rsidP="00A27D12">
            <w:pPr>
              <w:rPr>
                <w:rFonts w:ascii="Arial" w:hAnsi="Arial" w:cs="Arial"/>
                <w:sz w:val="20"/>
                <w:szCs w:val="20"/>
              </w:rPr>
            </w:pPr>
            <w:r>
              <w:rPr>
                <w:rFonts w:ascii="Arial" w:hAnsi="Arial" w:cs="Arial"/>
                <w:sz w:val="20"/>
                <w:szCs w:val="20"/>
              </w:rPr>
              <w:t>Have dates been set?</w:t>
            </w:r>
          </w:p>
        </w:tc>
      </w:tr>
    </w:tbl>
    <w:p w:rsidR="009A45EF" w:rsidRPr="00F46676" w:rsidRDefault="009A45EF">
      <w:pPr>
        <w:rPr>
          <w:rFonts w:ascii="Arial" w:hAnsi="Arial" w:cs="Arial"/>
          <w:sz w:val="20"/>
          <w:szCs w:val="20"/>
        </w:rPr>
      </w:pPr>
    </w:p>
    <w:sectPr w:rsidR="009A45EF" w:rsidRPr="00F46676" w:rsidSect="0036372C">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A0" w:rsidRDefault="00B35FA0" w:rsidP="00AF50A7">
      <w:pPr>
        <w:spacing w:after="0" w:line="240" w:lineRule="auto"/>
      </w:pPr>
      <w:r>
        <w:separator/>
      </w:r>
    </w:p>
  </w:endnote>
  <w:endnote w:type="continuationSeparator" w:id="0">
    <w:p w:rsidR="00B35FA0" w:rsidRDefault="00B35FA0" w:rsidP="00AF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D3" w:rsidRDefault="00DA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A0" w:rsidRPr="00AF50A7" w:rsidRDefault="00B35FA0" w:rsidP="00AF50A7">
    <w:pPr>
      <w:pStyle w:val="Footer"/>
      <w:jc w:val="right"/>
      <w:rPr>
        <w:sz w:val="16"/>
        <w:szCs w:val="16"/>
      </w:rPr>
    </w:pPr>
    <w:r w:rsidRPr="00AF50A7">
      <w:rPr>
        <w:sz w:val="16"/>
        <w:szCs w:val="16"/>
      </w:rPr>
      <w:t xml:space="preserve">Ealing Workforce and Governance checklist </w:t>
    </w:r>
    <w:r w:rsidR="00DA2FD3">
      <w:rPr>
        <w:sz w:val="16"/>
        <w:szCs w:val="16"/>
      </w:rPr>
      <w:t>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D3" w:rsidRDefault="00DA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A0" w:rsidRDefault="00B35FA0" w:rsidP="00AF50A7">
      <w:pPr>
        <w:spacing w:after="0" w:line="240" w:lineRule="auto"/>
      </w:pPr>
      <w:r>
        <w:separator/>
      </w:r>
    </w:p>
  </w:footnote>
  <w:footnote w:type="continuationSeparator" w:id="0">
    <w:p w:rsidR="00B35FA0" w:rsidRDefault="00B35FA0" w:rsidP="00AF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D3" w:rsidRDefault="00DA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D3" w:rsidRDefault="00DA2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D3" w:rsidRDefault="00DA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291"/>
    <w:multiLevelType w:val="hybridMultilevel"/>
    <w:tmpl w:val="27A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007B0"/>
    <w:multiLevelType w:val="multilevel"/>
    <w:tmpl w:val="583A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A3"/>
    <w:rsid w:val="000B60D2"/>
    <w:rsid w:val="000F4D79"/>
    <w:rsid w:val="002B5510"/>
    <w:rsid w:val="00313A22"/>
    <w:rsid w:val="0036372C"/>
    <w:rsid w:val="003743C4"/>
    <w:rsid w:val="003B062B"/>
    <w:rsid w:val="0045598C"/>
    <w:rsid w:val="00576D9A"/>
    <w:rsid w:val="005F01AC"/>
    <w:rsid w:val="00611CA0"/>
    <w:rsid w:val="006963A3"/>
    <w:rsid w:val="00721FA2"/>
    <w:rsid w:val="00797054"/>
    <w:rsid w:val="00932664"/>
    <w:rsid w:val="009A45EF"/>
    <w:rsid w:val="00A27D12"/>
    <w:rsid w:val="00A71528"/>
    <w:rsid w:val="00AC29FD"/>
    <w:rsid w:val="00AF50A7"/>
    <w:rsid w:val="00B07D91"/>
    <w:rsid w:val="00B35FA0"/>
    <w:rsid w:val="00B80FC0"/>
    <w:rsid w:val="00C96C76"/>
    <w:rsid w:val="00DA2FD3"/>
    <w:rsid w:val="00E027D5"/>
    <w:rsid w:val="00E47E1E"/>
    <w:rsid w:val="00F00D23"/>
    <w:rsid w:val="00F176E6"/>
    <w:rsid w:val="00F46676"/>
    <w:rsid w:val="00FA574A"/>
    <w:rsid w:val="00FB135D"/>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A3"/>
    <w:rPr>
      <w:rFonts w:ascii="Calibri" w:eastAsia="Calibri" w:hAnsi="Calibri" w:cs="Times New Roman"/>
    </w:rPr>
  </w:style>
  <w:style w:type="paragraph" w:styleId="Heading2">
    <w:name w:val="heading 2"/>
    <w:basedOn w:val="Normal"/>
    <w:link w:val="Heading2Char"/>
    <w:uiPriority w:val="9"/>
    <w:qFormat/>
    <w:rsid w:val="00F00D23"/>
    <w:pPr>
      <w:spacing w:before="100" w:beforeAutospacing="1" w:after="100" w:afterAutospacing="1" w:line="240" w:lineRule="auto"/>
      <w:outlineLvl w:val="1"/>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4A"/>
    <w:pPr>
      <w:ind w:left="720"/>
      <w:contextualSpacing/>
    </w:pPr>
  </w:style>
  <w:style w:type="paragraph" w:customStyle="1" w:styleId="plain">
    <w:name w:val="plain"/>
    <w:basedOn w:val="Normal"/>
    <w:rsid w:val="00F00D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F00D2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00D2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00D2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7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676"/>
    <w:rPr>
      <w:color w:val="0000FF" w:themeColor="hyperlink"/>
      <w:u w:val="single"/>
    </w:rPr>
  </w:style>
  <w:style w:type="paragraph" w:styleId="BalloonText">
    <w:name w:val="Balloon Text"/>
    <w:basedOn w:val="Normal"/>
    <w:link w:val="BalloonTextChar"/>
    <w:uiPriority w:val="99"/>
    <w:semiHidden/>
    <w:unhideWhenUsed/>
    <w:rsid w:val="00AF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A7"/>
    <w:rPr>
      <w:rFonts w:ascii="Tahoma" w:eastAsia="Calibri" w:hAnsi="Tahoma" w:cs="Tahoma"/>
      <w:sz w:val="16"/>
      <w:szCs w:val="16"/>
    </w:rPr>
  </w:style>
  <w:style w:type="paragraph" w:styleId="Header">
    <w:name w:val="header"/>
    <w:basedOn w:val="Normal"/>
    <w:link w:val="HeaderChar"/>
    <w:uiPriority w:val="99"/>
    <w:unhideWhenUsed/>
    <w:rsid w:val="00AF5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A7"/>
    <w:rPr>
      <w:rFonts w:ascii="Calibri" w:eastAsia="Calibri" w:hAnsi="Calibri" w:cs="Times New Roman"/>
    </w:rPr>
  </w:style>
  <w:style w:type="paragraph" w:styleId="Footer">
    <w:name w:val="footer"/>
    <w:basedOn w:val="Normal"/>
    <w:link w:val="FooterChar"/>
    <w:uiPriority w:val="99"/>
    <w:unhideWhenUsed/>
    <w:rsid w:val="00AF5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A7"/>
    <w:rPr>
      <w:rFonts w:ascii="Calibri" w:eastAsia="Calibri" w:hAnsi="Calibri" w:cs="Times New Roman"/>
    </w:rPr>
  </w:style>
  <w:style w:type="character" w:styleId="FollowedHyperlink">
    <w:name w:val="FollowedHyperlink"/>
    <w:basedOn w:val="DefaultParagraphFont"/>
    <w:uiPriority w:val="99"/>
    <w:semiHidden/>
    <w:unhideWhenUsed/>
    <w:rsid w:val="00721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A3"/>
    <w:rPr>
      <w:rFonts w:ascii="Calibri" w:eastAsia="Calibri" w:hAnsi="Calibri" w:cs="Times New Roman"/>
    </w:rPr>
  </w:style>
  <w:style w:type="paragraph" w:styleId="Heading2">
    <w:name w:val="heading 2"/>
    <w:basedOn w:val="Normal"/>
    <w:link w:val="Heading2Char"/>
    <w:uiPriority w:val="9"/>
    <w:qFormat/>
    <w:rsid w:val="00F00D23"/>
    <w:pPr>
      <w:spacing w:before="100" w:beforeAutospacing="1" w:after="100" w:afterAutospacing="1" w:line="240" w:lineRule="auto"/>
      <w:outlineLvl w:val="1"/>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4A"/>
    <w:pPr>
      <w:ind w:left="720"/>
      <w:contextualSpacing/>
    </w:pPr>
  </w:style>
  <w:style w:type="paragraph" w:customStyle="1" w:styleId="plain">
    <w:name w:val="plain"/>
    <w:basedOn w:val="Normal"/>
    <w:rsid w:val="00F00D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F00D2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00D2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00D2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7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676"/>
    <w:rPr>
      <w:color w:val="0000FF" w:themeColor="hyperlink"/>
      <w:u w:val="single"/>
    </w:rPr>
  </w:style>
  <w:style w:type="paragraph" w:styleId="BalloonText">
    <w:name w:val="Balloon Text"/>
    <w:basedOn w:val="Normal"/>
    <w:link w:val="BalloonTextChar"/>
    <w:uiPriority w:val="99"/>
    <w:semiHidden/>
    <w:unhideWhenUsed/>
    <w:rsid w:val="00AF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A7"/>
    <w:rPr>
      <w:rFonts w:ascii="Tahoma" w:eastAsia="Calibri" w:hAnsi="Tahoma" w:cs="Tahoma"/>
      <w:sz w:val="16"/>
      <w:szCs w:val="16"/>
    </w:rPr>
  </w:style>
  <w:style w:type="paragraph" w:styleId="Header">
    <w:name w:val="header"/>
    <w:basedOn w:val="Normal"/>
    <w:link w:val="HeaderChar"/>
    <w:uiPriority w:val="99"/>
    <w:unhideWhenUsed/>
    <w:rsid w:val="00AF5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A7"/>
    <w:rPr>
      <w:rFonts w:ascii="Calibri" w:eastAsia="Calibri" w:hAnsi="Calibri" w:cs="Times New Roman"/>
    </w:rPr>
  </w:style>
  <w:style w:type="paragraph" w:styleId="Footer">
    <w:name w:val="footer"/>
    <w:basedOn w:val="Normal"/>
    <w:link w:val="FooterChar"/>
    <w:uiPriority w:val="99"/>
    <w:unhideWhenUsed/>
    <w:rsid w:val="00AF5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A7"/>
    <w:rPr>
      <w:rFonts w:ascii="Calibri" w:eastAsia="Calibri" w:hAnsi="Calibri" w:cs="Times New Roman"/>
    </w:rPr>
  </w:style>
  <w:style w:type="character" w:styleId="FollowedHyperlink">
    <w:name w:val="FollowedHyperlink"/>
    <w:basedOn w:val="DefaultParagraphFont"/>
    <w:uiPriority w:val="99"/>
    <w:semiHidden/>
    <w:unhideWhenUsed/>
    <w:rsid w:val="00721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141">
      <w:bodyDiv w:val="1"/>
      <w:marLeft w:val="0"/>
      <w:marRight w:val="0"/>
      <w:marTop w:val="0"/>
      <w:marBottom w:val="0"/>
      <w:divBdr>
        <w:top w:val="none" w:sz="0" w:space="0" w:color="auto"/>
        <w:left w:val="none" w:sz="0" w:space="0" w:color="auto"/>
        <w:bottom w:val="none" w:sz="0" w:space="0" w:color="auto"/>
        <w:right w:val="none" w:sz="0" w:space="0" w:color="auto"/>
      </w:divBdr>
      <w:divsChild>
        <w:div w:id="438453940">
          <w:marLeft w:val="0"/>
          <w:marRight w:val="0"/>
          <w:marTop w:val="0"/>
          <w:marBottom w:val="0"/>
          <w:divBdr>
            <w:top w:val="none" w:sz="0" w:space="0" w:color="auto"/>
            <w:left w:val="none" w:sz="0" w:space="0" w:color="auto"/>
            <w:bottom w:val="none" w:sz="0" w:space="0" w:color="auto"/>
            <w:right w:val="none" w:sz="0" w:space="0" w:color="auto"/>
          </w:divBdr>
          <w:divsChild>
            <w:div w:id="457452341">
              <w:marLeft w:val="0"/>
              <w:marRight w:val="2475"/>
              <w:marTop w:val="0"/>
              <w:marBottom w:val="0"/>
              <w:divBdr>
                <w:top w:val="none" w:sz="0" w:space="0" w:color="auto"/>
                <w:left w:val="none" w:sz="0" w:space="0" w:color="auto"/>
                <w:bottom w:val="none" w:sz="0" w:space="0" w:color="auto"/>
                <w:right w:val="none" w:sz="0" w:space="0" w:color="auto"/>
              </w:divBdr>
              <w:divsChild>
                <w:div w:id="1846283212">
                  <w:marLeft w:val="0"/>
                  <w:marRight w:val="0"/>
                  <w:marTop w:val="0"/>
                  <w:marBottom w:val="0"/>
                  <w:divBdr>
                    <w:top w:val="none" w:sz="0" w:space="0" w:color="auto"/>
                    <w:left w:val="none" w:sz="0" w:space="0" w:color="auto"/>
                    <w:bottom w:val="none" w:sz="0" w:space="0" w:color="auto"/>
                    <w:right w:val="none" w:sz="0" w:space="0" w:color="auto"/>
                  </w:divBdr>
                  <w:divsChild>
                    <w:div w:id="1174106463">
                      <w:marLeft w:val="0"/>
                      <w:marRight w:val="0"/>
                      <w:marTop w:val="0"/>
                      <w:marBottom w:val="0"/>
                      <w:divBdr>
                        <w:top w:val="none" w:sz="0" w:space="0" w:color="auto"/>
                        <w:left w:val="none" w:sz="0" w:space="0" w:color="auto"/>
                        <w:bottom w:val="none" w:sz="0" w:space="0" w:color="auto"/>
                        <w:right w:val="none" w:sz="0" w:space="0" w:color="auto"/>
                      </w:divBdr>
                      <w:divsChild>
                        <w:div w:id="1805583962">
                          <w:marLeft w:val="0"/>
                          <w:marRight w:val="0"/>
                          <w:marTop w:val="0"/>
                          <w:marBottom w:val="0"/>
                          <w:divBdr>
                            <w:top w:val="none" w:sz="0" w:space="0" w:color="auto"/>
                            <w:left w:val="none" w:sz="0" w:space="0" w:color="auto"/>
                            <w:bottom w:val="none" w:sz="0" w:space="0" w:color="auto"/>
                            <w:right w:val="none" w:sz="0" w:space="0" w:color="auto"/>
                          </w:divBdr>
                          <w:divsChild>
                            <w:div w:id="1762069711">
                              <w:marLeft w:val="0"/>
                              <w:marRight w:val="0"/>
                              <w:marTop w:val="0"/>
                              <w:marBottom w:val="0"/>
                              <w:divBdr>
                                <w:top w:val="none" w:sz="0" w:space="0" w:color="auto"/>
                                <w:left w:val="none" w:sz="0" w:space="0" w:color="auto"/>
                                <w:bottom w:val="none" w:sz="0" w:space="0" w:color="auto"/>
                                <w:right w:val="none" w:sz="0" w:space="0" w:color="auto"/>
                              </w:divBdr>
                              <w:divsChild>
                                <w:div w:id="7620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76871">
      <w:bodyDiv w:val="1"/>
      <w:marLeft w:val="0"/>
      <w:marRight w:val="0"/>
      <w:marTop w:val="0"/>
      <w:marBottom w:val="0"/>
      <w:divBdr>
        <w:top w:val="none" w:sz="0" w:space="0" w:color="auto"/>
        <w:left w:val="none" w:sz="0" w:space="0" w:color="auto"/>
        <w:bottom w:val="none" w:sz="0" w:space="0" w:color="auto"/>
        <w:right w:val="none" w:sz="0" w:space="0" w:color="auto"/>
      </w:divBdr>
    </w:div>
    <w:div w:id="1175265245">
      <w:bodyDiv w:val="1"/>
      <w:marLeft w:val="0"/>
      <w:marRight w:val="0"/>
      <w:marTop w:val="0"/>
      <w:marBottom w:val="0"/>
      <w:divBdr>
        <w:top w:val="none" w:sz="0" w:space="0" w:color="auto"/>
        <w:left w:val="none" w:sz="0" w:space="0" w:color="auto"/>
        <w:bottom w:val="none" w:sz="0" w:space="0" w:color="auto"/>
        <w:right w:val="none" w:sz="0" w:space="0" w:color="auto"/>
      </w:divBdr>
      <w:divsChild>
        <w:div w:id="1127774522">
          <w:marLeft w:val="0"/>
          <w:marRight w:val="0"/>
          <w:marTop w:val="0"/>
          <w:marBottom w:val="0"/>
          <w:divBdr>
            <w:top w:val="none" w:sz="0" w:space="0" w:color="auto"/>
            <w:left w:val="none" w:sz="0" w:space="0" w:color="auto"/>
            <w:bottom w:val="none" w:sz="0" w:space="0" w:color="auto"/>
            <w:right w:val="none" w:sz="0" w:space="0" w:color="auto"/>
          </w:divBdr>
          <w:divsChild>
            <w:div w:id="1678842890">
              <w:marLeft w:val="0"/>
              <w:marRight w:val="2475"/>
              <w:marTop w:val="0"/>
              <w:marBottom w:val="0"/>
              <w:divBdr>
                <w:top w:val="none" w:sz="0" w:space="0" w:color="auto"/>
                <w:left w:val="none" w:sz="0" w:space="0" w:color="auto"/>
                <w:bottom w:val="none" w:sz="0" w:space="0" w:color="auto"/>
                <w:right w:val="none" w:sz="0" w:space="0" w:color="auto"/>
              </w:divBdr>
              <w:divsChild>
                <w:div w:id="703211829">
                  <w:marLeft w:val="0"/>
                  <w:marRight w:val="0"/>
                  <w:marTop w:val="0"/>
                  <w:marBottom w:val="0"/>
                  <w:divBdr>
                    <w:top w:val="none" w:sz="0" w:space="0" w:color="auto"/>
                    <w:left w:val="none" w:sz="0" w:space="0" w:color="auto"/>
                    <w:bottom w:val="none" w:sz="0" w:space="0" w:color="auto"/>
                    <w:right w:val="none" w:sz="0" w:space="0" w:color="auto"/>
                  </w:divBdr>
                  <w:divsChild>
                    <w:div w:id="256717722">
                      <w:marLeft w:val="0"/>
                      <w:marRight w:val="0"/>
                      <w:marTop w:val="0"/>
                      <w:marBottom w:val="0"/>
                      <w:divBdr>
                        <w:top w:val="none" w:sz="0" w:space="0" w:color="auto"/>
                        <w:left w:val="none" w:sz="0" w:space="0" w:color="auto"/>
                        <w:bottom w:val="none" w:sz="0" w:space="0" w:color="auto"/>
                        <w:right w:val="none" w:sz="0" w:space="0" w:color="auto"/>
                      </w:divBdr>
                      <w:divsChild>
                        <w:div w:id="1199708716">
                          <w:marLeft w:val="0"/>
                          <w:marRight w:val="0"/>
                          <w:marTop w:val="0"/>
                          <w:marBottom w:val="0"/>
                          <w:divBdr>
                            <w:top w:val="none" w:sz="0" w:space="0" w:color="auto"/>
                            <w:left w:val="none" w:sz="0" w:space="0" w:color="auto"/>
                            <w:bottom w:val="none" w:sz="0" w:space="0" w:color="auto"/>
                            <w:right w:val="none" w:sz="0" w:space="0" w:color="auto"/>
                          </w:divBdr>
                          <w:divsChild>
                            <w:div w:id="1552186058">
                              <w:marLeft w:val="0"/>
                              <w:marRight w:val="0"/>
                              <w:marTop w:val="0"/>
                              <w:marBottom w:val="0"/>
                              <w:divBdr>
                                <w:top w:val="none" w:sz="0" w:space="0" w:color="auto"/>
                                <w:left w:val="none" w:sz="0" w:space="0" w:color="auto"/>
                                <w:bottom w:val="none" w:sz="0" w:space="0" w:color="auto"/>
                                <w:right w:val="none" w:sz="0" w:space="0" w:color="auto"/>
                              </w:divBdr>
                              <w:divsChild>
                                <w:div w:id="15957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fl.org.uk/categories/personnel/payroll/pay_polic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52752/Governors_Handbook_201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9D2E-C740-4C41-BF0E-F85CE30E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50A2CE42</Template>
  <TotalTime>33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4</cp:revision>
  <cp:lastPrinted>2015-06-03T10:35:00Z</cp:lastPrinted>
  <dcterms:created xsi:type="dcterms:W3CDTF">2015-05-05T16:30:00Z</dcterms:created>
  <dcterms:modified xsi:type="dcterms:W3CDTF">2015-06-03T10:36:00Z</dcterms:modified>
</cp:coreProperties>
</file>