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77E3" w:rsidRDefault="00A977E3" w:rsidP="00A977E3"/>
    <w:p w:rsidR="00A977E3" w:rsidRDefault="00A977E3" w:rsidP="00A977E3"/>
    <w:p w:rsidR="00A977E3" w:rsidRDefault="00A977E3" w:rsidP="00A977E3">
      <w:r>
        <w:t>About us:</w:t>
      </w:r>
    </w:p>
    <w:p w:rsidR="00A977E3" w:rsidRDefault="00A977E3" w:rsidP="00A977E3">
      <w:r>
        <w:t xml:space="preserve">We work with over 40 LA’s throughout the UK, offering a cost effective range of recruitment solutions aimed at connecting high calibre education professionals with schools and colleges. We currently work with more than </w:t>
      </w:r>
      <w:r>
        <w:rPr>
          <w:b/>
          <w:bCs/>
        </w:rPr>
        <w:t>6,000</w:t>
      </w:r>
      <w:r>
        <w:t xml:space="preserve"> schools and colleges in the UK and have approx. </w:t>
      </w:r>
      <w:r>
        <w:rPr>
          <w:b/>
          <w:bCs/>
        </w:rPr>
        <w:t>1 Million visitors</w:t>
      </w:r>
      <w:r>
        <w:t xml:space="preserve"> to our site every month.  Our product can enable schools and colleges to recruit proactively by promoting their brand to potential candidates. Last year, </w:t>
      </w:r>
      <w:proofErr w:type="spellStart"/>
      <w:r>
        <w:t>Eteach</w:t>
      </w:r>
      <w:proofErr w:type="spellEnd"/>
      <w:r>
        <w:t xml:space="preserve"> advertised more education vacancies than any other education recruitment provider and this, combined with our tailored campaigns and unique Local Authority approach, allows us to target hard to fill roles and address resourcing challenges in difficult locations.</w:t>
      </w:r>
    </w:p>
    <w:p w:rsidR="00A977E3" w:rsidRDefault="00A977E3" w:rsidP="00A977E3"/>
    <w:p w:rsidR="00A977E3" w:rsidRDefault="00A977E3" w:rsidP="00A977E3">
      <w:r>
        <w:t xml:space="preserve">The scope of our service ranges from direct recruitment advertising solutions via our online licence model, through to executive search and provision of interim leadership staff. Below is what your member schools could receive as part of the </w:t>
      </w:r>
      <w:proofErr w:type="spellStart"/>
      <w:r>
        <w:t>Eteach</w:t>
      </w:r>
      <w:proofErr w:type="spellEnd"/>
      <w:r>
        <w:t xml:space="preserve"> offer and importantly each participating school is able to control the adverts themselves relieving the pressure on your own staff and ensuring that the costs are controlled as a result. </w:t>
      </w:r>
    </w:p>
    <w:p w:rsidR="00A977E3" w:rsidRDefault="00A977E3" w:rsidP="00A977E3"/>
    <w:p w:rsidR="00A977E3" w:rsidRDefault="00A977E3" w:rsidP="00A977E3">
      <w:pPr>
        <w:spacing w:line="300" w:lineRule="atLeast"/>
      </w:pPr>
      <w:proofErr w:type="spellStart"/>
      <w:r>
        <w:rPr>
          <w:b/>
          <w:bCs/>
          <w:u w:val="single"/>
        </w:rPr>
        <w:t>Eteach</w:t>
      </w:r>
      <w:proofErr w:type="spellEnd"/>
      <w:r>
        <w:rPr>
          <w:b/>
          <w:bCs/>
          <w:u w:val="single"/>
        </w:rPr>
        <w:t xml:space="preserve"> Licence Provides</w:t>
      </w:r>
      <w:r>
        <w:t>-</w:t>
      </w:r>
    </w:p>
    <w:p w:rsidR="00A977E3" w:rsidRDefault="00A977E3" w:rsidP="00A977E3">
      <w:pPr>
        <w:spacing w:line="300" w:lineRule="atLeast"/>
      </w:pPr>
      <w:r>
        <w:t> </w:t>
      </w:r>
    </w:p>
    <w:p w:rsidR="00A977E3" w:rsidRDefault="00A977E3" w:rsidP="00A977E3">
      <w:pPr>
        <w:numPr>
          <w:ilvl w:val="0"/>
          <w:numId w:val="1"/>
        </w:numPr>
        <w:jc w:val="both"/>
        <w:rPr>
          <w:rFonts w:eastAsia="Times New Roman"/>
        </w:rPr>
      </w:pPr>
      <w:r>
        <w:rPr>
          <w:rFonts w:eastAsia="Times New Roman"/>
          <w:b/>
          <w:bCs/>
          <w:lang w:val="en-US"/>
        </w:rPr>
        <w:t>Unlimited Vacancies</w:t>
      </w:r>
      <w:r>
        <w:rPr>
          <w:rFonts w:eastAsia="Times New Roman"/>
          <w:lang w:val="en-US"/>
        </w:rPr>
        <w:t xml:space="preserve"> across all leadership, teaching and support roles – easier to budget, instant advertising with </w:t>
      </w:r>
      <w:r>
        <w:rPr>
          <w:rFonts w:eastAsia="Times New Roman"/>
          <w:b/>
          <w:bCs/>
          <w:i/>
          <w:iCs/>
          <w:lang w:val="en-US"/>
        </w:rPr>
        <w:t>no re-advertising costs or deadlines</w:t>
      </w:r>
      <w:r>
        <w:rPr>
          <w:rFonts w:eastAsia="Times New Roman"/>
          <w:lang w:val="en-US"/>
        </w:rPr>
        <w:t>. All roles can be advertised and updated instantly, whilst tracking the views, downloads and applications throughout the process.</w:t>
      </w:r>
    </w:p>
    <w:p w:rsidR="00A977E3" w:rsidRDefault="00A977E3" w:rsidP="00A977E3">
      <w:pPr>
        <w:ind w:left="720"/>
        <w:jc w:val="both"/>
      </w:pPr>
    </w:p>
    <w:p w:rsidR="00A977E3" w:rsidRDefault="00A977E3" w:rsidP="00A977E3">
      <w:pPr>
        <w:numPr>
          <w:ilvl w:val="0"/>
          <w:numId w:val="2"/>
        </w:numPr>
        <w:jc w:val="both"/>
        <w:rPr>
          <w:rFonts w:eastAsia="Times New Roman"/>
        </w:rPr>
      </w:pPr>
      <w:r>
        <w:rPr>
          <w:rFonts w:eastAsia="Times New Roman"/>
          <w:b/>
          <w:bCs/>
        </w:rPr>
        <w:t xml:space="preserve">A Local Authority Group Career Site </w:t>
      </w:r>
      <w:r>
        <w:rPr>
          <w:rFonts w:eastAsia="Times New Roman"/>
        </w:rPr>
        <w:t>which demonstrates the Local Authority brand, culture, values and key strengths to member schools and potential new candidates. This will attract</w:t>
      </w:r>
      <w:r>
        <w:rPr>
          <w:rFonts w:eastAsia="Times New Roman"/>
          <w:b/>
          <w:bCs/>
        </w:rPr>
        <w:t xml:space="preserve"> </w:t>
      </w:r>
      <w:r>
        <w:rPr>
          <w:rFonts w:eastAsia="Times New Roman"/>
        </w:rPr>
        <w:t>the very best candidates throughout the year and present the Local Authority and its member schools as the employer of choice.  In addition, the Local Authority Career Site will improve its ranking on search engines (including Google) via Search Engine Optimisation (SEO) by being linked to eteach.com, which is recognised as a high traffic site.</w:t>
      </w:r>
    </w:p>
    <w:p w:rsidR="00A977E3" w:rsidRDefault="00A977E3" w:rsidP="00A977E3">
      <w:pPr>
        <w:ind w:firstLine="45"/>
        <w:jc w:val="both"/>
      </w:pPr>
    </w:p>
    <w:p w:rsidR="00A977E3" w:rsidRDefault="00A977E3" w:rsidP="00A977E3">
      <w:pPr>
        <w:numPr>
          <w:ilvl w:val="0"/>
          <w:numId w:val="3"/>
        </w:numPr>
        <w:jc w:val="both"/>
        <w:rPr>
          <w:rFonts w:eastAsia="Times New Roman"/>
        </w:rPr>
      </w:pPr>
      <w:r>
        <w:rPr>
          <w:rFonts w:eastAsia="Times New Roman"/>
          <w:b/>
          <w:bCs/>
        </w:rPr>
        <w:t>Individual Member School Career Sites</w:t>
      </w:r>
      <w:r>
        <w:rPr>
          <w:rFonts w:eastAsia="Times New Roman"/>
        </w:rPr>
        <w:t xml:space="preserve"> which are aligned to the Local Authority Group Career Site and would be uniquely branded for each member school and aimed specifically at candidates –</w:t>
      </w:r>
      <w:r>
        <w:rPr>
          <w:rFonts w:eastAsia="Times New Roman"/>
          <w:b/>
          <w:bCs/>
        </w:rPr>
        <w:t xml:space="preserve"> </w:t>
      </w:r>
      <w:r>
        <w:rPr>
          <w:rFonts w:eastAsia="Times New Roman"/>
        </w:rPr>
        <w:t>allowing each member school to showcase their individuality whilst benefiting from a cluster approach. The Member School Career Sites would also gain from a boost in search engine ranking as a result of their being linked to eteach.com.</w:t>
      </w:r>
    </w:p>
    <w:p w:rsidR="00A977E3" w:rsidRDefault="00A977E3" w:rsidP="00A977E3">
      <w:pPr>
        <w:jc w:val="both"/>
      </w:pPr>
    </w:p>
    <w:p w:rsidR="00A977E3" w:rsidRDefault="00A977E3" w:rsidP="00A977E3">
      <w:pPr>
        <w:numPr>
          <w:ilvl w:val="0"/>
          <w:numId w:val="4"/>
        </w:numPr>
        <w:jc w:val="both"/>
        <w:rPr>
          <w:rFonts w:eastAsia="Times New Roman"/>
        </w:rPr>
      </w:pPr>
      <w:r>
        <w:rPr>
          <w:rFonts w:eastAsia="Times New Roman"/>
          <w:b/>
          <w:bCs/>
        </w:rPr>
        <w:t xml:space="preserve">Talents Pools – </w:t>
      </w:r>
      <w:proofErr w:type="spellStart"/>
      <w:r>
        <w:rPr>
          <w:rFonts w:eastAsia="Times New Roman"/>
        </w:rPr>
        <w:t>Eteach</w:t>
      </w:r>
      <w:proofErr w:type="spellEnd"/>
      <w:r>
        <w:rPr>
          <w:rFonts w:eastAsia="Times New Roman"/>
        </w:rPr>
        <w:t xml:space="preserve"> attracts thousands of candidates to its website every month, increasing the number of candidates specifically within the Local Authority Talent Pool and automatically alerting them of all future vacancies. Your own Local Authority dedicated Talent Pool will allow your member schools to capture and view candidates who are interested in working within your region throughout the year, even when you are not advertising! This will be particularly effective for your member schools hard-to-fill roles as it will allow them to search and appoint candidates at no extra effort or cost. </w:t>
      </w:r>
    </w:p>
    <w:p w:rsidR="00A977E3" w:rsidRDefault="00A977E3" w:rsidP="00A977E3">
      <w:pPr>
        <w:ind w:left="720" w:firstLine="45"/>
        <w:jc w:val="both"/>
      </w:pPr>
    </w:p>
    <w:p w:rsidR="00A977E3" w:rsidRDefault="00A977E3" w:rsidP="00A977E3">
      <w:pPr>
        <w:numPr>
          <w:ilvl w:val="0"/>
          <w:numId w:val="5"/>
        </w:numPr>
        <w:jc w:val="both"/>
        <w:rPr>
          <w:rFonts w:eastAsia="Times New Roman"/>
        </w:rPr>
      </w:pPr>
      <w:r>
        <w:rPr>
          <w:rFonts w:eastAsia="Times New Roman"/>
          <w:b/>
          <w:bCs/>
        </w:rPr>
        <w:t>Our Award-Winning Applicant Tracking System</w:t>
      </w:r>
      <w:r>
        <w:rPr>
          <w:rFonts w:eastAsia="Times New Roman"/>
        </w:rPr>
        <w:t xml:space="preserve"> will allow your member schools to manage the whole recruitment process through one easy to use system. Respond to applications and forward candidates to other member schools at the click of a button, whilst increasing efficiency. This will massively reduce the intense admin loads that are typical of traditional school recruitment – an area of concern that we discussed.</w:t>
      </w:r>
    </w:p>
    <w:p w:rsidR="00A977E3" w:rsidRDefault="00A977E3" w:rsidP="00A977E3">
      <w:pPr>
        <w:pStyle w:val="ListParagraph"/>
      </w:pPr>
    </w:p>
    <w:p w:rsidR="004C161C" w:rsidRDefault="004C161C" w:rsidP="004C161C">
      <w:pPr>
        <w:ind w:left="360"/>
        <w:jc w:val="both"/>
        <w:rPr>
          <w:rFonts w:eastAsia="Times New Roman"/>
          <w:b/>
          <w:bCs/>
        </w:rPr>
      </w:pPr>
    </w:p>
    <w:p w:rsidR="004C161C" w:rsidRDefault="004C161C" w:rsidP="004C161C">
      <w:pPr>
        <w:ind w:left="360"/>
        <w:jc w:val="both"/>
        <w:rPr>
          <w:rFonts w:eastAsia="Times New Roman"/>
          <w:b/>
          <w:bCs/>
        </w:rPr>
      </w:pPr>
    </w:p>
    <w:p w:rsidR="00A977E3" w:rsidRDefault="00A977E3" w:rsidP="00A977E3">
      <w:pPr>
        <w:numPr>
          <w:ilvl w:val="0"/>
          <w:numId w:val="6"/>
        </w:numPr>
        <w:jc w:val="both"/>
        <w:rPr>
          <w:rFonts w:eastAsia="Times New Roman"/>
          <w:b/>
          <w:bCs/>
        </w:rPr>
      </w:pPr>
      <w:r>
        <w:rPr>
          <w:rFonts w:eastAsia="Times New Roman"/>
          <w:b/>
          <w:bCs/>
        </w:rPr>
        <w:t>Online Application Forms –</w:t>
      </w:r>
      <w:r>
        <w:rPr>
          <w:rFonts w:eastAsia="Times New Roman"/>
        </w:rPr>
        <w:t xml:space="preserve"> ensure a smooth application process, increased applications, and all relevant information is captured through mandatory fields. Candidates are captured straight into the application process from the first click, and overall candidate experience is dramatically improved – leading to an enhanced candidate perception of the schools. For hard to fill roles, this is critical to ensuring that you do not lose the perfect candidate </w:t>
      </w:r>
      <w:proofErr w:type="gramStart"/>
      <w:r>
        <w:rPr>
          <w:rFonts w:eastAsia="Times New Roman"/>
        </w:rPr>
        <w:t>as a result of</w:t>
      </w:r>
      <w:proofErr w:type="gramEnd"/>
      <w:r>
        <w:rPr>
          <w:rFonts w:eastAsia="Times New Roman"/>
        </w:rPr>
        <w:t xml:space="preserve"> the application process.</w:t>
      </w:r>
    </w:p>
    <w:p w:rsidR="00A977E3" w:rsidRDefault="00A977E3" w:rsidP="00A977E3">
      <w:pPr>
        <w:pStyle w:val="ListParagraph"/>
        <w:rPr>
          <w:b/>
          <w:bCs/>
        </w:rPr>
      </w:pPr>
    </w:p>
    <w:p w:rsidR="00A977E3" w:rsidRDefault="00A977E3" w:rsidP="00A977E3">
      <w:pPr>
        <w:numPr>
          <w:ilvl w:val="0"/>
          <w:numId w:val="7"/>
        </w:numPr>
        <w:jc w:val="both"/>
        <w:rPr>
          <w:rFonts w:eastAsia="Times New Roman"/>
          <w:b/>
          <w:bCs/>
        </w:rPr>
      </w:pPr>
      <w:r>
        <w:rPr>
          <w:rFonts w:eastAsia="Times New Roman"/>
          <w:b/>
          <w:bCs/>
        </w:rPr>
        <w:t xml:space="preserve">Equal Opportunities Monitoring </w:t>
      </w:r>
      <w:r>
        <w:rPr>
          <w:rFonts w:eastAsia="Times New Roman"/>
        </w:rPr>
        <w:t>– through the online application process we also enable members a best practice approach to equal opportunities, ensuring compliance and fair process. The automated approach saves time and paperwork whilst ensuring all relevant diversity information is captured for monitoring &amp; reporting, and fair process is applied through the systems’ blind shortlisting capability</w:t>
      </w:r>
      <w:r>
        <w:rPr>
          <w:rFonts w:eastAsia="Times New Roman"/>
          <w:b/>
          <w:bCs/>
        </w:rPr>
        <w:t>.</w:t>
      </w:r>
    </w:p>
    <w:p w:rsidR="00A977E3" w:rsidRDefault="00A977E3" w:rsidP="00A977E3">
      <w:pPr>
        <w:ind w:left="720"/>
      </w:pPr>
    </w:p>
    <w:p w:rsidR="00A977E3" w:rsidRDefault="00A977E3" w:rsidP="00A977E3">
      <w:pPr>
        <w:numPr>
          <w:ilvl w:val="0"/>
          <w:numId w:val="8"/>
        </w:numPr>
        <w:jc w:val="both"/>
        <w:rPr>
          <w:rFonts w:eastAsia="Times New Roman"/>
          <w:b/>
          <w:bCs/>
        </w:rPr>
      </w:pPr>
      <w:r>
        <w:rPr>
          <w:rFonts w:eastAsia="Times New Roman"/>
          <w:b/>
          <w:bCs/>
        </w:rPr>
        <w:t xml:space="preserve">Local Authority Client Relationship Manager – </w:t>
      </w:r>
      <w:r>
        <w:rPr>
          <w:rFonts w:eastAsia="Times New Roman"/>
        </w:rPr>
        <w:t xml:space="preserve">Your Local Authority and each member school will be managed by a Local Authority Client Relationship Manager who will provide full training, advice and support to ensure the smooth running of all your member schools recruitment campaigns and to maximise their results. </w:t>
      </w:r>
    </w:p>
    <w:p w:rsidR="00A977E3" w:rsidRDefault="00A977E3" w:rsidP="00A977E3"/>
    <w:p w:rsidR="0056128C" w:rsidRPr="00A977E3" w:rsidRDefault="00A977E3">
      <w:pPr>
        <w:rPr>
          <w:b/>
          <w:sz w:val="36"/>
          <w:szCs w:val="36"/>
        </w:rPr>
      </w:pPr>
      <w:r w:rsidRPr="00A977E3">
        <w:rPr>
          <w:b/>
          <w:sz w:val="36"/>
          <w:szCs w:val="36"/>
        </w:rPr>
        <w:t>Prices</w:t>
      </w:r>
    </w:p>
    <w:p w:rsidR="00A977E3" w:rsidRDefault="00A977E3"/>
    <w:p w:rsidR="00A977E3" w:rsidRDefault="00A977E3">
      <w:r>
        <w:t>Minimum of 30 schools to sign up</w:t>
      </w:r>
    </w:p>
    <w:p w:rsidR="00A977E3" w:rsidRDefault="00A977E3">
      <w:r>
        <w:t xml:space="preserve"> </w:t>
      </w:r>
    </w:p>
    <w:tbl>
      <w:tblPr>
        <w:tblStyle w:val="TableGrid"/>
        <w:tblW w:w="0" w:type="auto"/>
        <w:tblLook w:val="04A0" w:firstRow="1" w:lastRow="0" w:firstColumn="1" w:lastColumn="0" w:noHBand="0" w:noVBand="1"/>
      </w:tblPr>
      <w:tblGrid>
        <w:gridCol w:w="3080"/>
        <w:gridCol w:w="3081"/>
      </w:tblGrid>
      <w:tr w:rsidR="00FB11DE" w:rsidTr="00A977E3">
        <w:tc>
          <w:tcPr>
            <w:tcW w:w="3080" w:type="dxa"/>
          </w:tcPr>
          <w:p w:rsidR="00FB11DE" w:rsidRDefault="00FB11DE">
            <w:r>
              <w:t>School Type</w:t>
            </w:r>
          </w:p>
        </w:tc>
        <w:tc>
          <w:tcPr>
            <w:tcW w:w="3081" w:type="dxa"/>
          </w:tcPr>
          <w:p w:rsidR="00FB11DE" w:rsidRDefault="00FB11DE">
            <w:r>
              <w:t>Rate card</w:t>
            </w:r>
          </w:p>
        </w:tc>
      </w:tr>
      <w:tr w:rsidR="00FB11DE" w:rsidTr="00A977E3">
        <w:tc>
          <w:tcPr>
            <w:tcW w:w="3080" w:type="dxa"/>
          </w:tcPr>
          <w:p w:rsidR="00FB11DE" w:rsidRDefault="00FB11DE">
            <w:r>
              <w:t>High School</w:t>
            </w:r>
          </w:p>
        </w:tc>
        <w:tc>
          <w:tcPr>
            <w:tcW w:w="3081" w:type="dxa"/>
          </w:tcPr>
          <w:p w:rsidR="00FB11DE" w:rsidRDefault="00FB11DE">
            <w:r>
              <w:t>£3,595</w:t>
            </w:r>
          </w:p>
        </w:tc>
      </w:tr>
      <w:tr w:rsidR="00FB11DE" w:rsidTr="00A977E3">
        <w:tc>
          <w:tcPr>
            <w:tcW w:w="3080" w:type="dxa"/>
          </w:tcPr>
          <w:p w:rsidR="00FB11DE" w:rsidRDefault="00FB11DE">
            <w:r>
              <w:t>Special/ Pupil Referral Units</w:t>
            </w:r>
          </w:p>
        </w:tc>
        <w:tc>
          <w:tcPr>
            <w:tcW w:w="3081" w:type="dxa"/>
          </w:tcPr>
          <w:p w:rsidR="00FB11DE" w:rsidRDefault="00B95745">
            <w:r>
              <w:t>£2,250</w:t>
            </w:r>
          </w:p>
        </w:tc>
      </w:tr>
      <w:tr w:rsidR="00FB11DE" w:rsidTr="00A977E3">
        <w:tc>
          <w:tcPr>
            <w:tcW w:w="3080" w:type="dxa"/>
          </w:tcPr>
          <w:p w:rsidR="00FB11DE" w:rsidRDefault="00FB11DE">
            <w:r>
              <w:t>Primary</w:t>
            </w:r>
          </w:p>
        </w:tc>
        <w:tc>
          <w:tcPr>
            <w:tcW w:w="3081" w:type="dxa"/>
          </w:tcPr>
          <w:p w:rsidR="00FB11DE" w:rsidRDefault="00B95745">
            <w:r>
              <w:t>£900</w:t>
            </w:r>
            <w:bookmarkStart w:id="0" w:name="_GoBack"/>
            <w:bookmarkEnd w:id="0"/>
          </w:p>
        </w:tc>
      </w:tr>
    </w:tbl>
    <w:p w:rsidR="00A977E3" w:rsidRDefault="00A977E3">
      <w:r>
        <w:t>Annual prices</w:t>
      </w:r>
    </w:p>
    <w:p w:rsidR="00A977E3" w:rsidRDefault="00A977E3"/>
    <w:p w:rsidR="00A977E3" w:rsidRDefault="00A977E3">
      <w:r>
        <w:t>Over 70 schools sign up, free NQT Talent Pool</w:t>
      </w:r>
    </w:p>
    <w:sectPr w:rsidR="00A977E3">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77E3" w:rsidRDefault="00A977E3" w:rsidP="00A977E3">
      <w:r>
        <w:separator/>
      </w:r>
    </w:p>
  </w:endnote>
  <w:endnote w:type="continuationSeparator" w:id="0">
    <w:p w:rsidR="00A977E3" w:rsidRDefault="00A977E3" w:rsidP="00A977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77E3" w:rsidRDefault="00A977E3" w:rsidP="00A977E3">
      <w:r>
        <w:separator/>
      </w:r>
    </w:p>
  </w:footnote>
  <w:footnote w:type="continuationSeparator" w:id="0">
    <w:p w:rsidR="00A977E3" w:rsidRDefault="00A977E3" w:rsidP="00A977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77E3" w:rsidRDefault="00A977E3">
    <w:pPr>
      <w:pStyle w:val="Header"/>
    </w:pPr>
    <w:r>
      <w:rPr>
        <w:rFonts w:ascii="Arial" w:hAnsi="Arial" w:cs="Arial"/>
        <w:noProof/>
        <w:color w:val="F8A82B"/>
        <w:lang w:eastAsia="en-GB"/>
      </w:rPr>
      <w:drawing>
        <wp:anchor distT="0" distB="0" distL="114300" distR="114300" simplePos="0" relativeHeight="251658240" behindDoc="1" locked="0" layoutInCell="1" allowOverlap="1">
          <wp:simplePos x="0" y="0"/>
          <wp:positionH relativeFrom="column">
            <wp:posOffset>4829175</wp:posOffset>
          </wp:positionH>
          <wp:positionV relativeFrom="paragraph">
            <wp:posOffset>-201930</wp:posOffset>
          </wp:positionV>
          <wp:extent cx="1466850" cy="952500"/>
          <wp:effectExtent l="0" t="0" r="0" b="0"/>
          <wp:wrapTight wrapText="bothSides">
            <wp:wrapPolygon edited="0">
              <wp:start x="0" y="0"/>
              <wp:lineTo x="0" y="21168"/>
              <wp:lineTo x="21319" y="21168"/>
              <wp:lineTo x="21319" y="0"/>
              <wp:lineTo x="0" y="0"/>
            </wp:wrapPolygon>
          </wp:wrapTight>
          <wp:docPr id="1" name="Picture 1" descr="Home">
            <a:hlinkClick xmlns:a="http://schemas.openxmlformats.org/drawingml/2006/main" r:id="rId1"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me">
                    <a:hlinkClick r:id="rId1" tooltip="&quot;&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66850" cy="952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C674C9"/>
    <w:multiLevelType w:val="multilevel"/>
    <w:tmpl w:val="1446231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D9F0F90"/>
    <w:multiLevelType w:val="multilevel"/>
    <w:tmpl w:val="80EA1F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10B50A9"/>
    <w:multiLevelType w:val="multilevel"/>
    <w:tmpl w:val="3B50F1E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1520F38"/>
    <w:multiLevelType w:val="multilevel"/>
    <w:tmpl w:val="F522D9F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5166DA0"/>
    <w:multiLevelType w:val="multilevel"/>
    <w:tmpl w:val="BAAE23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5F40ABE"/>
    <w:multiLevelType w:val="multilevel"/>
    <w:tmpl w:val="883253B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84B22EE"/>
    <w:multiLevelType w:val="multilevel"/>
    <w:tmpl w:val="5F6C24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BCA4068"/>
    <w:multiLevelType w:val="multilevel"/>
    <w:tmpl w:val="2BC0AF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4"/>
  </w:num>
  <w:num w:numId="3">
    <w:abstractNumId w:val="0"/>
  </w:num>
  <w:num w:numId="4">
    <w:abstractNumId w:val="6"/>
  </w:num>
  <w:num w:numId="5">
    <w:abstractNumId w:val="7"/>
  </w:num>
  <w:num w:numId="6">
    <w:abstractNumId w:val="1"/>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7E3"/>
    <w:rsid w:val="004C161C"/>
    <w:rsid w:val="0056128C"/>
    <w:rsid w:val="00A977E3"/>
    <w:rsid w:val="00B95745"/>
    <w:rsid w:val="00FB11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949622"/>
  <w15:docId w15:val="{F7BF084C-B4AE-4C1F-A29B-2FB52DE1B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977E3"/>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77E3"/>
    <w:pPr>
      <w:ind w:left="720"/>
    </w:pPr>
  </w:style>
  <w:style w:type="paragraph" w:styleId="Header">
    <w:name w:val="header"/>
    <w:basedOn w:val="Normal"/>
    <w:link w:val="HeaderChar"/>
    <w:uiPriority w:val="99"/>
    <w:unhideWhenUsed/>
    <w:rsid w:val="00A977E3"/>
    <w:pPr>
      <w:tabs>
        <w:tab w:val="center" w:pos="4513"/>
        <w:tab w:val="right" w:pos="9026"/>
      </w:tabs>
    </w:pPr>
  </w:style>
  <w:style w:type="character" w:customStyle="1" w:styleId="HeaderChar">
    <w:name w:val="Header Char"/>
    <w:basedOn w:val="DefaultParagraphFont"/>
    <w:link w:val="Header"/>
    <w:uiPriority w:val="99"/>
    <w:rsid w:val="00A977E3"/>
    <w:rPr>
      <w:rFonts w:ascii="Calibri" w:hAnsi="Calibri" w:cs="Times New Roman"/>
    </w:rPr>
  </w:style>
  <w:style w:type="paragraph" w:styleId="Footer">
    <w:name w:val="footer"/>
    <w:basedOn w:val="Normal"/>
    <w:link w:val="FooterChar"/>
    <w:uiPriority w:val="99"/>
    <w:unhideWhenUsed/>
    <w:rsid w:val="00A977E3"/>
    <w:pPr>
      <w:tabs>
        <w:tab w:val="center" w:pos="4513"/>
        <w:tab w:val="right" w:pos="9026"/>
      </w:tabs>
    </w:pPr>
  </w:style>
  <w:style w:type="character" w:customStyle="1" w:styleId="FooterChar">
    <w:name w:val="Footer Char"/>
    <w:basedOn w:val="DefaultParagraphFont"/>
    <w:link w:val="Footer"/>
    <w:uiPriority w:val="99"/>
    <w:rsid w:val="00A977E3"/>
    <w:rPr>
      <w:rFonts w:ascii="Calibri" w:hAnsi="Calibri" w:cs="Times New Roman"/>
    </w:rPr>
  </w:style>
  <w:style w:type="paragraph" w:styleId="BalloonText">
    <w:name w:val="Balloon Text"/>
    <w:basedOn w:val="Normal"/>
    <w:link w:val="BalloonTextChar"/>
    <w:uiPriority w:val="99"/>
    <w:semiHidden/>
    <w:unhideWhenUsed/>
    <w:rsid w:val="00A977E3"/>
    <w:rPr>
      <w:rFonts w:ascii="Tahoma" w:hAnsi="Tahoma" w:cs="Tahoma"/>
      <w:sz w:val="16"/>
      <w:szCs w:val="16"/>
    </w:rPr>
  </w:style>
  <w:style w:type="character" w:customStyle="1" w:styleId="BalloonTextChar">
    <w:name w:val="Balloon Text Char"/>
    <w:basedOn w:val="DefaultParagraphFont"/>
    <w:link w:val="BalloonText"/>
    <w:uiPriority w:val="99"/>
    <w:semiHidden/>
    <w:rsid w:val="00A977E3"/>
    <w:rPr>
      <w:rFonts w:ascii="Tahoma" w:hAnsi="Tahoma" w:cs="Tahoma"/>
      <w:sz w:val="16"/>
      <w:szCs w:val="16"/>
    </w:rPr>
  </w:style>
  <w:style w:type="table" w:styleId="TableGrid">
    <w:name w:val="Table Grid"/>
    <w:basedOn w:val="TableNormal"/>
    <w:uiPriority w:val="59"/>
    <w:rsid w:val="00A977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307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ww.eteach.com/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727</Words>
  <Characters>4147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LBE</Company>
  <LinksUpToDate>false</LinksUpToDate>
  <CharactersWithSpaces>4865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London Borough of Ealing</dc:creator>
  <cp:lastModifiedBy>Jasmin Oliver</cp:lastModifiedBy>
  <cp:revision>2</cp:revision>
  <dcterms:created xsi:type="dcterms:W3CDTF">2017-12-15T12:39:00Z</dcterms:created>
  <dcterms:modified xsi:type="dcterms:W3CDTF">2017-12-15T12:39:00Z</dcterms:modified>
</cp:coreProperties>
</file>